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C88" w:rsidRPr="00EC1C88" w:rsidRDefault="00EC1C88" w:rsidP="00EC1C88">
      <w:pPr>
        <w:widowControl/>
        <w:shd w:val="clear" w:color="auto" w:fill="FFFFFF"/>
        <w:spacing w:before="150" w:after="150" w:line="600" w:lineRule="atLeast"/>
        <w:jc w:val="center"/>
        <w:outlineLvl w:val="1"/>
        <w:rPr>
          <w:rFonts w:ascii="微软雅黑" w:eastAsia="微软雅黑" w:hAnsi="微软雅黑" w:cs="宋体"/>
          <w:kern w:val="0"/>
          <w:sz w:val="39"/>
          <w:szCs w:val="39"/>
        </w:rPr>
      </w:pPr>
      <w:r w:rsidRPr="00EC1C88">
        <w:rPr>
          <w:rFonts w:ascii="微软雅黑" w:eastAsia="微软雅黑" w:hAnsi="微软雅黑" w:cs="宋体" w:hint="eastAsia"/>
          <w:kern w:val="0"/>
          <w:sz w:val="39"/>
          <w:szCs w:val="39"/>
        </w:rPr>
        <w:t>紫阳县2020年政府信息公开工作年度报告</w:t>
      </w:r>
    </w:p>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b/>
          <w:bCs/>
          <w:color w:val="333333"/>
          <w:kern w:val="0"/>
          <w:sz w:val="27"/>
        </w:rPr>
        <w:t>一、总体情况</w:t>
      </w:r>
    </w:p>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color w:val="333333"/>
          <w:kern w:val="0"/>
          <w:sz w:val="27"/>
          <w:szCs w:val="27"/>
        </w:rPr>
        <w:t>2020年，紫阳县以习近平新时代中国特色社会主义思想为指导，深入贯彻落实党的十九大和十九届二中三中四中五中全会及省市县委全会精神，以公开为常态、不公开为例外，扎实推进政府信息公开工作，圆满完成了政府信息公开年度任务，为服务和推动全县经济社会发展，打造法治政府、阳光政府、诚信政府提供了有力保障。</w:t>
      </w:r>
    </w:p>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color w:val="333333"/>
          <w:kern w:val="0"/>
          <w:sz w:val="27"/>
          <w:szCs w:val="27"/>
        </w:rPr>
        <w:t>（一）主动公开。一是加强制度建设。4月17日，市政府办印发了《关于开展政府网站和政务新媒体专项整治工作的通知》，紫阳县以此为契机，对全县政府网站、政务新媒体运</w:t>
      </w:r>
      <w:proofErr w:type="gramStart"/>
      <w:r w:rsidRPr="00EC1C88">
        <w:rPr>
          <w:rFonts w:ascii="宋体" w:eastAsia="宋体" w:hAnsi="宋体" w:cs="Arial" w:hint="eastAsia"/>
          <w:color w:val="333333"/>
          <w:kern w:val="0"/>
          <w:sz w:val="27"/>
          <w:szCs w:val="27"/>
        </w:rPr>
        <w:t>维情况</w:t>
      </w:r>
      <w:proofErr w:type="gramEnd"/>
      <w:r w:rsidRPr="00EC1C88">
        <w:rPr>
          <w:rFonts w:ascii="宋体" w:eastAsia="宋体" w:hAnsi="宋体" w:cs="Arial" w:hint="eastAsia"/>
          <w:color w:val="333333"/>
          <w:kern w:val="0"/>
          <w:sz w:val="27"/>
          <w:szCs w:val="27"/>
        </w:rPr>
        <w:t>进行了督查，对存在问题进行了整改；县政府办先后制定下发了《紫阳县人民政府网站信息审核发布制度》《紫阳县政务新媒体信息审核发布管理制度》《紫阳县政务公开保密审查制度》等制度文件，进一步规范了信息采集、审核和发布环节，确保信息发布及时、准确、安全。二是深化公开内容。要求各镇各部门结合本单位实际，紧紧围绕县委、县政府中心工作，及时准确公开城乡规划、重大建设项目、财政预决算、安全生产、环境保护、食品药品监管、扶贫项目资金等重点领域方面的信息。三是扎实推进政务服务。稳步推进相对集中审批，完成了180项行政许可事项划转，通过印制办事指南、</w:t>
      </w:r>
      <w:proofErr w:type="gramStart"/>
      <w:r w:rsidRPr="00EC1C88">
        <w:rPr>
          <w:rFonts w:ascii="宋体" w:eastAsia="宋体" w:hAnsi="宋体" w:cs="Arial" w:hint="eastAsia"/>
          <w:color w:val="333333"/>
          <w:kern w:val="0"/>
          <w:sz w:val="27"/>
          <w:szCs w:val="27"/>
        </w:rPr>
        <w:t>微信公众号</w:t>
      </w:r>
      <w:proofErr w:type="gramEnd"/>
      <w:r w:rsidRPr="00EC1C88">
        <w:rPr>
          <w:rFonts w:ascii="宋体" w:eastAsia="宋体" w:hAnsi="宋体" w:cs="Arial" w:hint="eastAsia"/>
          <w:color w:val="333333"/>
          <w:kern w:val="0"/>
          <w:sz w:val="27"/>
          <w:szCs w:val="27"/>
        </w:rPr>
        <w:t>和“陕西省政务服务网”等多种方式</w:t>
      </w:r>
      <w:proofErr w:type="gramStart"/>
      <w:r w:rsidRPr="00EC1C88">
        <w:rPr>
          <w:rFonts w:ascii="宋体" w:eastAsia="宋体" w:hAnsi="宋体" w:cs="Arial" w:hint="eastAsia"/>
          <w:color w:val="333333"/>
          <w:kern w:val="0"/>
          <w:sz w:val="27"/>
          <w:szCs w:val="27"/>
        </w:rPr>
        <w:t>向办事</w:t>
      </w:r>
      <w:proofErr w:type="gramEnd"/>
      <w:r w:rsidRPr="00EC1C88">
        <w:rPr>
          <w:rFonts w:ascii="宋体" w:eastAsia="宋体" w:hAnsi="宋体" w:cs="Arial" w:hint="eastAsia"/>
          <w:color w:val="333333"/>
          <w:kern w:val="0"/>
          <w:sz w:val="27"/>
          <w:szCs w:val="27"/>
        </w:rPr>
        <w:t>群众公开办事清单、办事流程和办事指南等内容。四是扎实推进政务公开规范化标准化工作。在3月26日召开的县政府2020年第3次党组（扩</w:t>
      </w:r>
      <w:r w:rsidRPr="00EC1C88">
        <w:rPr>
          <w:rFonts w:ascii="宋体" w:eastAsia="宋体" w:hAnsi="宋体" w:cs="Arial" w:hint="eastAsia"/>
          <w:color w:val="333333"/>
          <w:kern w:val="0"/>
          <w:sz w:val="27"/>
          <w:szCs w:val="27"/>
        </w:rPr>
        <w:lastRenderedPageBreak/>
        <w:t>大）集体学习会上,对国务院办公厅《关于全面推进基层政务公开标准化规范化工作的指导意见》进行了集中学习，县政府领导对此项工作进行了多次安排部署。 2020年，全县共发布政府信息16780条，其中：县政府门户网站发布政府信息4705条，通过电视、广播、政务新媒体、社区公示栏等途径发布信息12075条。公开政务服务事项518项，公开财政预决算信息186条，办理县长信箱信件502件，开展了9次民意征集，公开政府文件81件，发布惠民政策、疫情防控解读信息40余条。</w:t>
      </w:r>
    </w:p>
    <w:p w:rsidR="00EC1C88" w:rsidRPr="00EC1C88" w:rsidRDefault="00EC1C88" w:rsidP="00EC1C88">
      <w:pPr>
        <w:widowControl/>
        <w:shd w:val="clear" w:color="auto" w:fill="FFFFFF"/>
        <w:ind w:firstLine="480"/>
        <w:rPr>
          <w:rFonts w:ascii="Arial" w:eastAsia="宋体" w:hAnsi="Arial" w:cs="Arial"/>
          <w:color w:val="333333"/>
          <w:kern w:val="0"/>
          <w:sz w:val="27"/>
          <w:szCs w:val="27"/>
        </w:rPr>
      </w:pPr>
      <w:r w:rsidRPr="00EC1C88">
        <w:rPr>
          <w:rFonts w:ascii="宋体" w:eastAsia="宋体" w:hAnsi="宋体" w:cs="Arial" w:hint="eastAsia"/>
          <w:color w:val="333333"/>
          <w:kern w:val="0"/>
          <w:sz w:val="27"/>
          <w:szCs w:val="27"/>
        </w:rPr>
        <w:t>（二）依申请公开。我县高度重视依申请公开工作，采取多项举措，畅通受理渠道，精准规范答复意见。2020年，全县共收到依申请公开5件，主要涉及项目投资、营商环境等方面内容，均在规定时间内进行了答复。</w:t>
      </w:r>
    </w:p>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color w:val="333333"/>
          <w:kern w:val="0"/>
          <w:sz w:val="27"/>
          <w:szCs w:val="27"/>
        </w:rPr>
        <w:t>（三）政府信息管理。一是严把政府信息审核发布关。制定出台了相关文件，修订了《紫阳县人民政府信息公开指南》，进一步规范政府信息审核、发布等工作。二是强化规范性文件管理。要求县司法局严把规范性文件“发布前审核、发布后更新及文件有效性管理”关，对截至2020年8月20日以前的以县政府和县政府办公室名义发布的规范性文件进行了全面清理，对文件“有效、废止、失效”等情况进行标注，实行了“三统一”编号。</w:t>
      </w:r>
    </w:p>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color w:val="333333"/>
          <w:kern w:val="0"/>
          <w:sz w:val="27"/>
          <w:szCs w:val="27"/>
        </w:rPr>
        <w:t>（四）平台建设。5至7月份，利用3个月时间对县政府门户网站进行了全新改版升级，政府网站后台统一集中到市级平台，充分发挥政府门户网站作为信息公开第一平台作用，网站年度独立用户访问总量</w:t>
      </w:r>
      <w:r w:rsidRPr="00EC1C88">
        <w:rPr>
          <w:rFonts w:ascii="宋体" w:eastAsia="宋体" w:hAnsi="宋体" w:cs="Arial" w:hint="eastAsia"/>
          <w:color w:val="333333"/>
          <w:kern w:val="0"/>
          <w:sz w:val="27"/>
          <w:szCs w:val="27"/>
        </w:rPr>
        <w:lastRenderedPageBreak/>
        <w:t>400405个，总访问量1843980次，切实增强信息发布、政策解读、回应关切、引导舆论功能，全面提升了政府门户网站的权威性和影响力。</w:t>
      </w:r>
    </w:p>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color w:val="333333"/>
          <w:kern w:val="0"/>
          <w:sz w:val="27"/>
          <w:szCs w:val="27"/>
        </w:rPr>
        <w:t>（五）监督保障。一是加强组织领导。成立了由县委常委、常务副县长为组长，县政府各组成部门主要负责人为成员的政务公开工作领导小组，办公室设在县政府办，统筹安排全县政务公开工作；各镇各部门也成立了相应组织机构，明确了1名分管领导和业务人员，承担本单位相关工作。二是加强业务培训。充分利用线上信息公开业务群、电话一对一指导和线下面对面交流等方式，加大对业务人员政府信息公开相关工作培训。三是加强监督检查。每季度定期对全县政务新媒体运维及信息发布情况进行检查通报，并将此项工作纳入县对镇、部门年度综合考核，2020年全年共抽查6次，下发通报5次，对个别镇和部门存在的问题进行指导整改，切实提升了全县政府信息公开质效。</w:t>
      </w:r>
    </w:p>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b/>
          <w:bCs/>
          <w:color w:val="333333"/>
          <w:kern w:val="0"/>
          <w:sz w:val="27"/>
        </w:rPr>
        <w:t>二、主动公开政府信息情况</w:t>
      </w:r>
    </w:p>
    <w:tbl>
      <w:tblPr>
        <w:tblW w:w="0" w:type="auto"/>
        <w:jc w:val="center"/>
        <w:tblCellMar>
          <w:left w:w="0" w:type="dxa"/>
          <w:right w:w="0" w:type="dxa"/>
        </w:tblCellMar>
        <w:tblLook w:val="04A0"/>
      </w:tblPr>
      <w:tblGrid>
        <w:gridCol w:w="2881"/>
        <w:gridCol w:w="2118"/>
        <w:gridCol w:w="1476"/>
        <w:gridCol w:w="2131"/>
      </w:tblGrid>
      <w:tr w:rsidR="00EC1C88" w:rsidRPr="00EC1C88" w:rsidTr="00EC1C88">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第二十条第（一）项</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本年新</w:t>
            </w:r>
            <w:r w:rsidRPr="00EC1C88">
              <w:rPr>
                <w:rFonts w:ascii="宋体" w:eastAsia="宋体" w:hAnsi="宋体" w:cs="宋体"/>
                <w:kern w:val="0"/>
                <w:sz w:val="24"/>
                <w:szCs w:val="24"/>
              </w:rPr>
              <w:br/>
            </w:r>
            <w:r w:rsidRPr="00EC1C88">
              <w:rPr>
                <w:rFonts w:ascii="宋体" w:eastAsia="宋体" w:hAnsi="宋体" w:cs="宋体" w:hint="eastAsia"/>
                <w:color w:val="333333"/>
                <w:kern w:val="0"/>
                <w:sz w:val="27"/>
                <w:szCs w:val="27"/>
              </w:rPr>
              <w:t>制作数量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本年新</w:t>
            </w:r>
            <w:r w:rsidRPr="00EC1C88">
              <w:rPr>
                <w:rFonts w:ascii="宋体" w:eastAsia="宋体" w:hAnsi="宋体" w:cs="宋体"/>
                <w:kern w:val="0"/>
                <w:sz w:val="24"/>
                <w:szCs w:val="24"/>
              </w:rPr>
              <w:br/>
            </w:r>
            <w:r w:rsidRPr="00EC1C88">
              <w:rPr>
                <w:rFonts w:ascii="宋体" w:eastAsia="宋体" w:hAnsi="宋体" w:cs="宋体" w:hint="eastAsia"/>
                <w:color w:val="333333"/>
                <w:kern w:val="0"/>
                <w:sz w:val="27"/>
                <w:szCs w:val="27"/>
              </w:rPr>
              <w:t>公开数量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对外公开总数量</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规章</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规范性文件</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18</w:t>
            </w:r>
          </w:p>
        </w:tc>
      </w:tr>
      <w:tr w:rsidR="00EC1C88" w:rsidRPr="00EC1C88" w:rsidTr="00EC1C88">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第二十条第（五）项</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上一年项目数量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本年增/减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处理决定数量</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lastRenderedPageBreak/>
              <w:t>行政许可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390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+72</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10624</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其他对外管理服务事项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56</w:t>
            </w:r>
          </w:p>
        </w:tc>
      </w:tr>
      <w:tr w:rsidR="00EC1C88" w:rsidRPr="00EC1C88" w:rsidTr="00EC1C88">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第二十条第（六）项</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上一年项目数量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本年增/减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处理决定数量</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行政处罚</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229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+29</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6754</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行政强制</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8</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+1</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56</w:t>
            </w:r>
          </w:p>
        </w:tc>
      </w:tr>
      <w:tr w:rsidR="00EC1C88" w:rsidRPr="00EC1C88" w:rsidTr="00EC1C88">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第二十条第（八）项</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上一年项目数量</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本年增/减</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行政事业性收费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45</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-2</w:t>
            </w:r>
          </w:p>
        </w:tc>
      </w:tr>
      <w:tr w:rsidR="00EC1C88" w:rsidRPr="00EC1C88" w:rsidTr="00EC1C88">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第二十条第（九）项</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信息内容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采购项目数量</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proofErr w:type="gramStart"/>
            <w:r w:rsidRPr="00EC1C88">
              <w:rPr>
                <w:rFonts w:ascii="宋体" w:eastAsia="宋体" w:hAnsi="宋体" w:cs="宋体" w:hint="eastAsia"/>
                <w:color w:val="333333"/>
                <w:kern w:val="0"/>
                <w:sz w:val="27"/>
                <w:szCs w:val="27"/>
              </w:rPr>
              <w:t>采购总</w:t>
            </w:r>
            <w:proofErr w:type="gramEnd"/>
            <w:r w:rsidRPr="00EC1C88">
              <w:rPr>
                <w:rFonts w:ascii="宋体" w:eastAsia="宋体" w:hAnsi="宋体" w:cs="宋体" w:hint="eastAsia"/>
                <w:color w:val="333333"/>
                <w:kern w:val="0"/>
                <w:sz w:val="27"/>
                <w:szCs w:val="27"/>
              </w:rPr>
              <w:t>金额</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政府集中采购</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813</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29209.84万元</w:t>
            </w:r>
          </w:p>
        </w:tc>
      </w:tr>
    </w:tbl>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b/>
          <w:bCs/>
          <w:color w:val="333333"/>
          <w:kern w:val="0"/>
          <w:sz w:val="27"/>
        </w:rPr>
        <w:t>三、收到和处理政府信息公开申请情况</w:t>
      </w:r>
    </w:p>
    <w:tbl>
      <w:tblPr>
        <w:tblW w:w="0" w:type="auto"/>
        <w:jc w:val="center"/>
        <w:tblCellMar>
          <w:left w:w="0" w:type="dxa"/>
          <w:right w:w="0" w:type="dxa"/>
        </w:tblCellMar>
        <w:tblLook w:val="04A0"/>
      </w:tblPr>
      <w:tblGrid>
        <w:gridCol w:w="1101"/>
        <w:gridCol w:w="1269"/>
        <w:gridCol w:w="1499"/>
        <w:gridCol w:w="645"/>
        <w:gridCol w:w="682"/>
        <w:gridCol w:w="682"/>
        <w:gridCol w:w="757"/>
        <w:gridCol w:w="757"/>
        <w:gridCol w:w="607"/>
        <w:gridCol w:w="607"/>
      </w:tblGrid>
      <w:tr w:rsidR="00EC1C88" w:rsidRPr="00EC1C88" w:rsidTr="00EC1C88">
        <w:trPr>
          <w:jc w:val="center"/>
        </w:trPr>
        <w:tc>
          <w:tcPr>
            <w:tcW w:w="0" w:type="auto"/>
            <w:gridSpan w:val="3"/>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（本列数据的勾</w:t>
            </w:r>
            <w:proofErr w:type="gramStart"/>
            <w:r w:rsidRPr="00EC1C88">
              <w:rPr>
                <w:rFonts w:ascii="宋体" w:eastAsia="宋体" w:hAnsi="宋体" w:cs="宋体" w:hint="eastAsia"/>
                <w:color w:val="333333"/>
                <w:kern w:val="0"/>
                <w:sz w:val="27"/>
                <w:szCs w:val="27"/>
              </w:rPr>
              <w:t>稽</w:t>
            </w:r>
            <w:proofErr w:type="gramEnd"/>
            <w:r w:rsidRPr="00EC1C88">
              <w:rPr>
                <w:rFonts w:ascii="宋体" w:eastAsia="宋体" w:hAnsi="宋体" w:cs="宋体" w:hint="eastAsia"/>
                <w:color w:val="333333"/>
                <w:kern w:val="0"/>
                <w:sz w:val="27"/>
                <w:szCs w:val="27"/>
              </w:rPr>
              <w:t>关系为：第一项加第二项之和，等于第三项加第四项之和）</w:t>
            </w:r>
          </w:p>
        </w:tc>
        <w:tc>
          <w:tcPr>
            <w:tcW w:w="0" w:type="auto"/>
            <w:gridSpan w:val="7"/>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申请人情况</w:t>
            </w:r>
          </w:p>
        </w:tc>
      </w:tr>
      <w:tr w:rsidR="00EC1C88" w:rsidRPr="00EC1C88" w:rsidTr="00EC1C88">
        <w:trPr>
          <w:jc w:val="center"/>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自然人</w:t>
            </w:r>
          </w:p>
        </w:tc>
        <w:tc>
          <w:tcPr>
            <w:tcW w:w="0" w:type="auto"/>
            <w:gridSpan w:val="5"/>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法人或其他组织</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总计</w:t>
            </w:r>
          </w:p>
        </w:tc>
      </w:tr>
      <w:tr w:rsidR="00EC1C88" w:rsidRPr="00EC1C88" w:rsidTr="00EC1C88">
        <w:trPr>
          <w:jc w:val="center"/>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商业</w:t>
            </w:r>
            <w:r w:rsidRPr="00EC1C88">
              <w:rPr>
                <w:rFonts w:ascii="宋体" w:eastAsia="宋体" w:hAnsi="宋体" w:cs="宋体" w:hint="eastAsia"/>
                <w:color w:val="333333"/>
                <w:kern w:val="0"/>
                <w:sz w:val="27"/>
                <w:szCs w:val="27"/>
              </w:rPr>
              <w:lastRenderedPageBreak/>
              <w:t>企业</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lastRenderedPageBreak/>
              <w:t>科研</w:t>
            </w:r>
            <w:r w:rsidRPr="00EC1C88">
              <w:rPr>
                <w:rFonts w:ascii="宋体" w:eastAsia="宋体" w:hAnsi="宋体" w:cs="宋体" w:hint="eastAsia"/>
                <w:color w:val="333333"/>
                <w:kern w:val="0"/>
                <w:sz w:val="27"/>
                <w:szCs w:val="27"/>
              </w:rPr>
              <w:lastRenderedPageBreak/>
              <w:t>机构</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lastRenderedPageBreak/>
              <w:t>社会</w:t>
            </w:r>
            <w:r w:rsidRPr="00EC1C88">
              <w:rPr>
                <w:rFonts w:ascii="宋体" w:eastAsia="宋体" w:hAnsi="宋体" w:cs="宋体" w:hint="eastAsia"/>
                <w:color w:val="333333"/>
                <w:kern w:val="0"/>
                <w:sz w:val="27"/>
                <w:szCs w:val="27"/>
              </w:rPr>
              <w:lastRenderedPageBreak/>
              <w:t>公益组织</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lastRenderedPageBreak/>
              <w:t>法律</w:t>
            </w:r>
            <w:r w:rsidRPr="00EC1C88">
              <w:rPr>
                <w:rFonts w:ascii="宋体" w:eastAsia="宋体" w:hAnsi="宋体" w:cs="宋体" w:hint="eastAsia"/>
                <w:color w:val="333333"/>
                <w:kern w:val="0"/>
                <w:sz w:val="27"/>
                <w:szCs w:val="27"/>
              </w:rPr>
              <w:lastRenderedPageBreak/>
              <w:t>服务机构</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lastRenderedPageBreak/>
              <w:t>其他</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r>
      <w:tr w:rsidR="00EC1C88" w:rsidRPr="00EC1C88" w:rsidTr="00EC1C88">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lastRenderedPageBreak/>
              <w:t>一、本年新收政府信息公开申请数量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5</w:t>
            </w:r>
          </w:p>
        </w:tc>
      </w:tr>
      <w:tr w:rsidR="00EC1C88" w:rsidRPr="00EC1C88" w:rsidTr="00EC1C88">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二、上年结转政府信息公开申请数量</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三、本年度办理结果</w:t>
            </w: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（一）予以公开</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5</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（二）部分公开（区分处理的，只计这一情形，不计其他情形）</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（三）不予公开</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1.属于国家秘密</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2.其他法律行政法规禁止公开</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3.危及“三安全</w:t>
            </w:r>
            <w:proofErr w:type="gramStart"/>
            <w:r w:rsidRPr="00EC1C88">
              <w:rPr>
                <w:rFonts w:ascii="宋体" w:eastAsia="宋体" w:hAnsi="宋体" w:cs="宋体" w:hint="eastAsia"/>
                <w:color w:val="333333"/>
                <w:kern w:val="0"/>
                <w:sz w:val="27"/>
                <w:szCs w:val="27"/>
              </w:rPr>
              <w:t>一</w:t>
            </w:r>
            <w:proofErr w:type="gramEnd"/>
            <w:r w:rsidRPr="00EC1C88">
              <w:rPr>
                <w:rFonts w:ascii="宋体" w:eastAsia="宋体" w:hAnsi="宋体" w:cs="宋体" w:hint="eastAsia"/>
                <w:color w:val="333333"/>
                <w:kern w:val="0"/>
                <w:sz w:val="27"/>
                <w:szCs w:val="27"/>
              </w:rPr>
              <w:t>稳定”</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4.保护第三方合法权益</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5.属于三类内部事务信息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6.属于四类过程性信息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7.属于行政执法案卷</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8.属于行政查询事项</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（四）无法提供</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1.本机关不掌握相关政府信息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2.没有现成信息需</w:t>
            </w:r>
            <w:r w:rsidRPr="00EC1C88">
              <w:rPr>
                <w:rFonts w:ascii="宋体" w:eastAsia="宋体" w:hAnsi="宋体" w:cs="宋体" w:hint="eastAsia"/>
                <w:color w:val="333333"/>
                <w:kern w:val="0"/>
                <w:sz w:val="27"/>
                <w:szCs w:val="27"/>
              </w:rPr>
              <w:lastRenderedPageBreak/>
              <w:t>要另行制作</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3.补正后申请内容仍不明确</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（五）</w:t>
            </w:r>
            <w:proofErr w:type="gramStart"/>
            <w:r w:rsidRPr="00EC1C88">
              <w:rPr>
                <w:rFonts w:ascii="宋体" w:eastAsia="宋体" w:hAnsi="宋体" w:cs="宋体" w:hint="eastAsia"/>
                <w:color w:val="333333"/>
                <w:kern w:val="0"/>
                <w:sz w:val="27"/>
                <w:szCs w:val="27"/>
              </w:rPr>
              <w:t>不予处理</w:t>
            </w:r>
            <w:proofErr w:type="gramEnd"/>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1.信访举报投诉类申请</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2.重复申请</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3.要求提供公开出版物</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4.无正当理由大量反复申请</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5.要求行政机关确认或重新出具已获取信息</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（六）其他处理</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（七）总计</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5</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5</w:t>
            </w:r>
          </w:p>
        </w:tc>
      </w:tr>
      <w:tr w:rsidR="00EC1C88" w:rsidRPr="00EC1C88" w:rsidTr="00EC1C88">
        <w:trPr>
          <w:jc w:val="center"/>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left"/>
              <w:rPr>
                <w:rFonts w:ascii="宋体" w:eastAsia="宋体" w:hAnsi="宋体" w:cs="宋体"/>
                <w:kern w:val="0"/>
                <w:sz w:val="24"/>
                <w:szCs w:val="24"/>
              </w:rPr>
            </w:pPr>
            <w:r w:rsidRPr="00EC1C88">
              <w:rPr>
                <w:rFonts w:ascii="宋体" w:eastAsia="宋体" w:hAnsi="宋体" w:cs="宋体" w:hint="eastAsia"/>
                <w:color w:val="333333"/>
                <w:kern w:val="0"/>
                <w:sz w:val="27"/>
                <w:szCs w:val="27"/>
              </w:rPr>
              <w:t>四、结转下年度继续办理</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bl>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b/>
          <w:bCs/>
          <w:color w:val="333333"/>
          <w:kern w:val="0"/>
          <w:sz w:val="27"/>
        </w:rPr>
        <w:t>四、政府信息公开行政复议、行政诉讼情况</w:t>
      </w:r>
    </w:p>
    <w:tbl>
      <w:tblPr>
        <w:tblW w:w="0" w:type="auto"/>
        <w:jc w:val="center"/>
        <w:tblCellMar>
          <w:left w:w="0" w:type="dxa"/>
          <w:right w:w="0" w:type="dxa"/>
        </w:tblCellMar>
        <w:tblLook w:val="04A0"/>
      </w:tblPr>
      <w:tblGrid>
        <w:gridCol w:w="575"/>
        <w:gridCol w:w="575"/>
        <w:gridCol w:w="575"/>
        <w:gridCol w:w="575"/>
        <w:gridCol w:w="572"/>
        <w:gridCol w:w="574"/>
        <w:gridCol w:w="574"/>
        <w:gridCol w:w="574"/>
        <w:gridCol w:w="574"/>
        <w:gridCol w:w="571"/>
        <w:gridCol w:w="574"/>
        <w:gridCol w:w="574"/>
        <w:gridCol w:w="574"/>
        <w:gridCol w:w="574"/>
        <w:gridCol w:w="571"/>
      </w:tblGrid>
      <w:tr w:rsidR="00EC1C88" w:rsidRPr="00EC1C88" w:rsidTr="00EC1C88">
        <w:trPr>
          <w:jc w:val="center"/>
        </w:trPr>
        <w:tc>
          <w:tcPr>
            <w:tcW w:w="0" w:type="auto"/>
            <w:gridSpan w:val="5"/>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行政复议</w:t>
            </w:r>
          </w:p>
        </w:tc>
        <w:tc>
          <w:tcPr>
            <w:tcW w:w="0" w:type="auto"/>
            <w:gridSpan w:val="10"/>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行政诉讼</w:t>
            </w:r>
          </w:p>
        </w:tc>
      </w:tr>
      <w:tr w:rsidR="00EC1C88" w:rsidRPr="00EC1C88" w:rsidTr="00EC1C88">
        <w:trPr>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结果维持</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结果纠正</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其他结果</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尚未审结</w:t>
            </w:r>
          </w:p>
        </w:tc>
        <w:tc>
          <w:tcPr>
            <w:tcW w:w="0" w:type="auto"/>
            <w:vMerge w:val="restart"/>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总计</w:t>
            </w:r>
          </w:p>
        </w:tc>
        <w:tc>
          <w:tcPr>
            <w:tcW w:w="0" w:type="auto"/>
            <w:gridSpan w:val="5"/>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未经复议直接起诉</w:t>
            </w:r>
          </w:p>
        </w:tc>
        <w:tc>
          <w:tcPr>
            <w:tcW w:w="0" w:type="auto"/>
            <w:gridSpan w:val="5"/>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复议后起诉</w:t>
            </w:r>
          </w:p>
        </w:tc>
      </w:tr>
      <w:tr w:rsidR="00EC1C88" w:rsidRPr="00EC1C88" w:rsidTr="00EC1C88">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C1C88" w:rsidRPr="00EC1C88" w:rsidRDefault="00EC1C88" w:rsidP="00EC1C88">
            <w:pPr>
              <w:widowControl/>
              <w:jc w:val="left"/>
              <w:rPr>
                <w:rFonts w:ascii="宋体" w:eastAsia="宋体" w:hAnsi="宋体" w:cs="宋体"/>
                <w:kern w:val="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结果维持</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结果纠正</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其他结果</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尚未审结</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总计</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结果维持</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结果纠正</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其他结果</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尚未审结</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总计</w:t>
            </w:r>
          </w:p>
        </w:tc>
      </w:tr>
      <w:tr w:rsidR="00EC1C88" w:rsidRPr="00EC1C88" w:rsidTr="00EC1C88">
        <w:trPr>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c>
          <w:tcPr>
            <w:tcW w:w="0" w:type="auto"/>
            <w:tcBorders>
              <w:top w:val="single" w:sz="6" w:space="0" w:color="000000"/>
              <w:left w:val="single" w:sz="6" w:space="0" w:color="000000"/>
              <w:bottom w:val="single" w:sz="6" w:space="0" w:color="000000"/>
              <w:right w:val="single" w:sz="6" w:space="0" w:color="000000"/>
            </w:tcBorders>
            <w:tcMar>
              <w:top w:w="30" w:type="dxa"/>
              <w:left w:w="150" w:type="dxa"/>
              <w:bottom w:w="30" w:type="dxa"/>
              <w:right w:w="150" w:type="dxa"/>
            </w:tcMar>
            <w:vAlign w:val="center"/>
            <w:hideMark/>
          </w:tcPr>
          <w:p w:rsidR="00EC1C88" w:rsidRPr="00EC1C88" w:rsidRDefault="00EC1C88" w:rsidP="00EC1C88">
            <w:pPr>
              <w:widowControl/>
              <w:jc w:val="center"/>
              <w:rPr>
                <w:rFonts w:ascii="宋体" w:eastAsia="宋体" w:hAnsi="宋体" w:cs="宋体"/>
                <w:kern w:val="0"/>
                <w:sz w:val="24"/>
                <w:szCs w:val="24"/>
              </w:rPr>
            </w:pPr>
            <w:r w:rsidRPr="00EC1C88">
              <w:rPr>
                <w:rFonts w:ascii="宋体" w:eastAsia="宋体" w:hAnsi="宋体" w:cs="宋体" w:hint="eastAsia"/>
                <w:color w:val="333333"/>
                <w:kern w:val="0"/>
                <w:sz w:val="27"/>
                <w:szCs w:val="27"/>
              </w:rPr>
              <w:t>0</w:t>
            </w:r>
          </w:p>
        </w:tc>
      </w:tr>
    </w:tbl>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b/>
          <w:bCs/>
          <w:color w:val="333333"/>
          <w:kern w:val="0"/>
          <w:sz w:val="27"/>
        </w:rPr>
        <w:t>五、存在的主要问题及改进情况</w:t>
      </w:r>
    </w:p>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color w:val="333333"/>
          <w:kern w:val="0"/>
          <w:sz w:val="27"/>
          <w:szCs w:val="27"/>
        </w:rPr>
        <w:t>2020年，全县政府信息公开工作虽然取得了一些成绩，但也存在一些问题：一是部分单位对政府信息公开工作思想认识不到位，重视程度不够，存在“政府信息公开数量不足、大而化之”现象。二是队伍建设有待加强，各单位虽然配备了人员，但是人员素质参差不齐、不固定、流动性强，业务工作断档。三是部分工作人员业务能力水平有待提高，存在对政府信息公开相关数据、指标要求理解不精准现象。四是重点领域政府信息公开还需加强，存在力度不够、质量不高、内容不全等问题。</w:t>
      </w:r>
    </w:p>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color w:val="333333"/>
          <w:kern w:val="0"/>
          <w:sz w:val="27"/>
          <w:szCs w:val="27"/>
        </w:rPr>
        <w:t>下一步，我们将从以下几个方面改进：一是强化督导检查，督促各镇、各部门切实履职尽责，做好政府信息公开工作，提高县对镇、部门</w:t>
      </w:r>
      <w:r w:rsidRPr="00EC1C88">
        <w:rPr>
          <w:rFonts w:ascii="宋体" w:eastAsia="宋体" w:hAnsi="宋体" w:cs="Arial" w:hint="eastAsia"/>
          <w:color w:val="333333"/>
          <w:kern w:val="0"/>
          <w:sz w:val="27"/>
          <w:szCs w:val="27"/>
        </w:rPr>
        <w:lastRenderedPageBreak/>
        <w:t>年度综合考核分值。二是着力深化重点领域信息公开。</w:t>
      </w:r>
      <w:proofErr w:type="gramStart"/>
      <w:r w:rsidRPr="00EC1C88">
        <w:rPr>
          <w:rFonts w:ascii="宋体" w:eastAsia="宋体" w:hAnsi="宋体" w:cs="Arial" w:hint="eastAsia"/>
          <w:color w:val="333333"/>
          <w:kern w:val="0"/>
          <w:sz w:val="27"/>
          <w:szCs w:val="27"/>
        </w:rPr>
        <w:t>紧紧对</w:t>
      </w:r>
      <w:proofErr w:type="gramEnd"/>
      <w:r w:rsidRPr="00EC1C88">
        <w:rPr>
          <w:rFonts w:ascii="宋体" w:eastAsia="宋体" w:hAnsi="宋体" w:cs="Arial" w:hint="eastAsia"/>
          <w:color w:val="333333"/>
          <w:kern w:val="0"/>
          <w:sz w:val="27"/>
          <w:szCs w:val="27"/>
        </w:rPr>
        <w:t>标中省市政府信息公开工作要求，继续加大对财政资金、重大项目、环境保护、民生实事等重点领域的信息公开力度，做好政府信息主动公开和依申请公开工作，以政府信息公开助推经济社会发展。三是加强政府信息平台建设，拓宽政府信息公开方式，加强对政府网站及政务新媒体等平台监管，夯实政府信息公开基础。四是加强信息公开队伍建设，配齐配强人员，积极开展业务培训，不断提高公开工作人员业务能力和水平。</w:t>
      </w:r>
    </w:p>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b/>
          <w:bCs/>
          <w:color w:val="333333"/>
          <w:kern w:val="0"/>
          <w:sz w:val="27"/>
        </w:rPr>
        <w:t>六、其他需要报告的事项</w:t>
      </w:r>
    </w:p>
    <w:p w:rsidR="00EC1C88" w:rsidRPr="00EC1C88" w:rsidRDefault="00EC1C88" w:rsidP="00EC1C88">
      <w:pPr>
        <w:widowControl/>
        <w:shd w:val="clear" w:color="auto" w:fill="FFFFFF"/>
        <w:ind w:firstLine="480"/>
        <w:jc w:val="left"/>
        <w:rPr>
          <w:rFonts w:ascii="Arial" w:eastAsia="宋体" w:hAnsi="Arial" w:cs="Arial"/>
          <w:color w:val="333333"/>
          <w:kern w:val="0"/>
          <w:sz w:val="27"/>
          <w:szCs w:val="27"/>
        </w:rPr>
      </w:pPr>
      <w:r w:rsidRPr="00EC1C88">
        <w:rPr>
          <w:rFonts w:ascii="宋体" w:eastAsia="宋体" w:hAnsi="宋体" w:cs="Arial" w:hint="eastAsia"/>
          <w:color w:val="333333"/>
          <w:kern w:val="0"/>
          <w:sz w:val="27"/>
          <w:szCs w:val="27"/>
        </w:rPr>
        <w:t>（无）</w:t>
      </w:r>
    </w:p>
    <w:p w:rsidR="00BC404C" w:rsidRPr="00EC1C88" w:rsidRDefault="00BC404C"/>
    <w:sectPr w:rsidR="00BC404C" w:rsidRPr="00EC1C88" w:rsidSect="00BC40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7D3" w:rsidRDefault="00A657D3" w:rsidP="00EC1C88">
      <w:r>
        <w:separator/>
      </w:r>
    </w:p>
  </w:endnote>
  <w:endnote w:type="continuationSeparator" w:id="0">
    <w:p w:rsidR="00A657D3" w:rsidRDefault="00A657D3" w:rsidP="00EC1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Bodoni MT">
    <w:panose1 w:val="02070603080606020203"/>
    <w:charset w:val="00"/>
    <w:family w:val="roman"/>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7D3" w:rsidRDefault="00A657D3" w:rsidP="00EC1C88">
      <w:r>
        <w:separator/>
      </w:r>
    </w:p>
  </w:footnote>
  <w:footnote w:type="continuationSeparator" w:id="0">
    <w:p w:rsidR="00A657D3" w:rsidRDefault="00A657D3" w:rsidP="00EC1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1C88"/>
    <w:rsid w:val="000A0342"/>
    <w:rsid w:val="0017298F"/>
    <w:rsid w:val="00280076"/>
    <w:rsid w:val="005E10CE"/>
    <w:rsid w:val="005E7969"/>
    <w:rsid w:val="00663371"/>
    <w:rsid w:val="00813B4A"/>
    <w:rsid w:val="009177E7"/>
    <w:rsid w:val="00946DDE"/>
    <w:rsid w:val="00A657D3"/>
    <w:rsid w:val="00B45C9B"/>
    <w:rsid w:val="00BB3746"/>
    <w:rsid w:val="00BC404C"/>
    <w:rsid w:val="00DE45E5"/>
    <w:rsid w:val="00EC1C88"/>
    <w:rsid w:val="00EF3CE6"/>
    <w:rsid w:val="00F03F78"/>
    <w:rsid w:val="00F62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B4A"/>
    <w:pPr>
      <w:widowControl w:val="0"/>
      <w:jc w:val="both"/>
    </w:pPr>
    <w:rPr>
      <w:rFonts w:ascii="仿宋_GB2312" w:eastAsia="仿宋_GB2312" w:hAnsi="Bodoni MT" w:cs="Bodoni MT"/>
      <w:kern w:val="2"/>
      <w:sz w:val="32"/>
      <w:szCs w:val="32"/>
    </w:rPr>
  </w:style>
  <w:style w:type="paragraph" w:styleId="2">
    <w:name w:val="heading 2"/>
    <w:basedOn w:val="a"/>
    <w:link w:val="2Char"/>
    <w:uiPriority w:val="9"/>
    <w:qFormat/>
    <w:rsid w:val="00813B4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
    <w:rsid w:val="00813B4A"/>
    <w:rPr>
      <w:rFonts w:ascii="宋体" w:hAnsi="宋体" w:cs="宋体"/>
      <w:b/>
      <w:bCs/>
      <w:sz w:val="36"/>
      <w:szCs w:val="36"/>
    </w:rPr>
  </w:style>
  <w:style w:type="character" w:styleId="a3">
    <w:name w:val="Emphasis"/>
    <w:uiPriority w:val="20"/>
    <w:qFormat/>
    <w:rsid w:val="00813B4A"/>
    <w:rPr>
      <w:i/>
      <w:iCs/>
    </w:rPr>
  </w:style>
  <w:style w:type="paragraph" w:styleId="a4">
    <w:name w:val="header"/>
    <w:basedOn w:val="a"/>
    <w:link w:val="Char"/>
    <w:uiPriority w:val="99"/>
    <w:semiHidden/>
    <w:unhideWhenUsed/>
    <w:rsid w:val="00EC1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C1C88"/>
    <w:rPr>
      <w:rFonts w:ascii="仿宋_GB2312" w:eastAsia="仿宋_GB2312" w:hAnsi="Bodoni MT" w:cs="Bodoni MT"/>
      <w:kern w:val="2"/>
      <w:sz w:val="18"/>
      <w:szCs w:val="18"/>
    </w:rPr>
  </w:style>
  <w:style w:type="paragraph" w:styleId="a5">
    <w:name w:val="footer"/>
    <w:basedOn w:val="a"/>
    <w:link w:val="Char0"/>
    <w:uiPriority w:val="99"/>
    <w:semiHidden/>
    <w:unhideWhenUsed/>
    <w:rsid w:val="00EC1C8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C1C88"/>
    <w:rPr>
      <w:rFonts w:ascii="仿宋_GB2312" w:eastAsia="仿宋_GB2312" w:hAnsi="Bodoni MT" w:cs="Bodoni MT"/>
      <w:kern w:val="2"/>
      <w:sz w:val="18"/>
      <w:szCs w:val="18"/>
    </w:rPr>
  </w:style>
  <w:style w:type="character" w:styleId="a6">
    <w:name w:val="Strong"/>
    <w:basedOn w:val="a0"/>
    <w:uiPriority w:val="22"/>
    <w:qFormat/>
    <w:rsid w:val="00EC1C88"/>
    <w:rPr>
      <w:b/>
      <w:bCs/>
    </w:rPr>
  </w:style>
</w:styles>
</file>

<file path=word/webSettings.xml><?xml version="1.0" encoding="utf-8"?>
<w:webSettings xmlns:r="http://schemas.openxmlformats.org/officeDocument/2006/relationships" xmlns:w="http://schemas.openxmlformats.org/wordprocessingml/2006/main">
  <w:divs>
    <w:div w:id="143933213">
      <w:bodyDiv w:val="1"/>
      <w:marLeft w:val="0"/>
      <w:marRight w:val="0"/>
      <w:marTop w:val="0"/>
      <w:marBottom w:val="0"/>
      <w:divBdr>
        <w:top w:val="none" w:sz="0" w:space="0" w:color="auto"/>
        <w:left w:val="none" w:sz="0" w:space="0" w:color="auto"/>
        <w:bottom w:val="none" w:sz="0" w:space="0" w:color="auto"/>
        <w:right w:val="none" w:sz="0" w:space="0" w:color="auto"/>
      </w:divBdr>
    </w:div>
    <w:div w:id="152308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hsh</dc:creator>
  <cp:keywords/>
  <dc:description/>
  <cp:lastModifiedBy>hsh</cp:lastModifiedBy>
  <cp:revision>2</cp:revision>
  <dcterms:created xsi:type="dcterms:W3CDTF">2022-09-01T02:51:00Z</dcterms:created>
  <dcterms:modified xsi:type="dcterms:W3CDTF">2022-09-01T02:53:00Z</dcterms:modified>
</cp:coreProperties>
</file>