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420"/>
        <w:rPr>
          <w:rFonts w:asciiTheme="minorHAnsi" w:hAnsiTheme="minorHAnsi" w:eastAsiaTheme="minorEastAsia"/>
          <w:b w:val="0"/>
          <w:bCs w:val="0"/>
          <w:sz w:val="21"/>
        </w:rPr>
      </w:pPr>
      <w:bookmarkStart w:id="0" w:name="_Toc7946093"/>
    </w:p>
    <w:p>
      <w:pPr>
        <w:pStyle w:val="2"/>
        <w:ind w:firstLine="420"/>
        <w:rPr>
          <w:rFonts w:asciiTheme="minorHAnsi" w:hAnsiTheme="minorHAnsi" w:eastAsiaTheme="minorEastAsia"/>
          <w:b w:val="0"/>
          <w:bCs w:val="0"/>
          <w:sz w:val="21"/>
        </w:rPr>
      </w:pPr>
    </w:p>
    <w:p>
      <w:pPr>
        <w:spacing w:line="240" w:lineRule="auto"/>
        <w:ind w:firstLine="0" w:firstLineChars="0"/>
        <w:jc w:val="center"/>
        <w:rPr>
          <w:rFonts w:ascii="黑体" w:hAnsi="黑体" w:eastAsia="黑体" w:cs="黑体"/>
          <w:b w:val="0"/>
          <w:bCs w:val="0"/>
          <w:kern w:val="0"/>
          <w:sz w:val="52"/>
          <w:szCs w:val="52"/>
        </w:rPr>
      </w:pPr>
      <w:r>
        <w:rPr>
          <w:rFonts w:hint="eastAsia" w:ascii="黑体" w:hAnsi="黑体" w:eastAsia="黑体" w:cs="黑体"/>
          <w:b w:val="0"/>
          <w:bCs w:val="0"/>
          <w:kern w:val="0"/>
          <w:sz w:val="52"/>
          <w:szCs w:val="52"/>
        </w:rPr>
        <w:t>紫阳县乡村振兴战略实施规划（2019-2023年）</w:t>
      </w:r>
    </w:p>
    <w:p>
      <w:pPr>
        <w:spacing w:line="240" w:lineRule="auto"/>
        <w:ind w:firstLine="0" w:firstLineChars="0"/>
        <w:jc w:val="center"/>
        <w:rPr>
          <w:rFonts w:eastAsia="宋体" w:cs="Times New Roman"/>
          <w:b w:val="0"/>
          <w:bCs w:val="0"/>
          <w:kern w:val="0"/>
          <w:sz w:val="44"/>
          <w:szCs w:val="36"/>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pStyle w:val="10"/>
        <w:spacing w:line="400" w:lineRule="exact"/>
        <w:ind w:left="0" w:leftChars="0"/>
        <w:jc w:val="center"/>
        <w:rPr>
          <w:rFonts w:ascii="Times New Roman" w:hAnsi="Times New Roman" w:eastAsia="黑体" w:cs="Times New Roman"/>
          <w:b w:val="0"/>
          <w:bCs w:val="0"/>
          <w:kern w:val="0"/>
          <w:sz w:val="32"/>
          <w:szCs w:val="32"/>
        </w:rPr>
      </w:pPr>
    </w:p>
    <w:p>
      <w:pPr>
        <w:pStyle w:val="10"/>
        <w:spacing w:line="400" w:lineRule="exact"/>
        <w:ind w:left="0" w:leftChars="0"/>
        <w:jc w:val="center"/>
        <w:rPr>
          <w:rFonts w:ascii="Times New Roman" w:hAnsi="Times New Roman" w:eastAsia="黑体" w:cs="Times New Roman"/>
          <w:b w:val="0"/>
          <w:bCs w:val="0"/>
          <w:kern w:val="0"/>
          <w:sz w:val="32"/>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spacing w:line="400" w:lineRule="exact"/>
        <w:ind w:firstLine="0" w:firstLineChars="0"/>
        <w:jc w:val="center"/>
        <w:rPr>
          <w:rFonts w:eastAsia="黑体" w:cs="Times New Roman"/>
          <w:b w:val="0"/>
          <w:bCs w:val="0"/>
          <w:kern w:val="0"/>
          <w:szCs w:val="32"/>
        </w:rPr>
      </w:pPr>
    </w:p>
    <w:p>
      <w:pPr>
        <w:tabs>
          <w:tab w:val="left" w:pos="12486"/>
        </w:tabs>
        <w:spacing w:line="400" w:lineRule="exact"/>
        <w:ind w:firstLine="0" w:firstLineChars="0"/>
        <w:jc w:val="center"/>
        <w:rPr>
          <w:rFonts w:eastAsia="黑体" w:cs="Times New Roman"/>
          <w:b w:val="0"/>
          <w:bCs w:val="0"/>
          <w:kern w:val="0"/>
          <w:szCs w:val="32"/>
        </w:rPr>
      </w:pPr>
    </w:p>
    <w:p>
      <w:pPr>
        <w:tabs>
          <w:tab w:val="left" w:pos="12486"/>
        </w:tabs>
        <w:spacing w:line="400" w:lineRule="exact"/>
        <w:ind w:firstLine="0" w:firstLineChars="0"/>
        <w:jc w:val="center"/>
        <w:rPr>
          <w:rFonts w:eastAsia="黑体" w:cs="Times New Roman"/>
          <w:b w:val="0"/>
          <w:bCs w:val="0"/>
          <w:kern w:val="0"/>
          <w:szCs w:val="32"/>
        </w:rPr>
      </w:pPr>
    </w:p>
    <w:p>
      <w:pPr>
        <w:tabs>
          <w:tab w:val="left" w:pos="12486"/>
        </w:tabs>
        <w:spacing w:line="400" w:lineRule="exact"/>
        <w:ind w:firstLine="0" w:firstLineChars="0"/>
        <w:rPr>
          <w:rFonts w:eastAsia="黑体" w:cs="Times New Roman"/>
          <w:b w:val="0"/>
          <w:bCs w:val="0"/>
          <w:kern w:val="0"/>
          <w:szCs w:val="32"/>
        </w:rPr>
      </w:pPr>
    </w:p>
    <w:p>
      <w:pPr>
        <w:tabs>
          <w:tab w:val="left" w:pos="12486"/>
        </w:tabs>
        <w:spacing w:line="360" w:lineRule="auto"/>
        <w:ind w:firstLine="0" w:firstLineChars="0"/>
        <w:jc w:val="center"/>
        <w:rPr>
          <w:rFonts w:eastAsia="楷体_GB2312" w:cs="Times New Roman"/>
          <w:b w:val="0"/>
          <w:bCs w:val="0"/>
          <w:kern w:val="0"/>
          <w:szCs w:val="32"/>
        </w:rPr>
      </w:pPr>
      <w:r>
        <w:rPr>
          <w:rFonts w:hint="eastAsia" w:eastAsia="楷体_GB2312" w:cs="Times New Roman"/>
          <w:b w:val="0"/>
          <w:bCs w:val="0"/>
          <w:kern w:val="0"/>
          <w:szCs w:val="32"/>
        </w:rPr>
        <w:t>中共紫阳县委  紫阳县人民政府</w:t>
      </w:r>
    </w:p>
    <w:p>
      <w:pPr>
        <w:tabs>
          <w:tab w:val="left" w:pos="12486"/>
        </w:tabs>
        <w:spacing w:after="100" w:afterAutospacing="1" w:line="360" w:lineRule="auto"/>
        <w:ind w:firstLine="0" w:firstLineChars="0"/>
        <w:jc w:val="center"/>
        <w:rPr>
          <w:rFonts w:hint="eastAsia" w:eastAsia="楷体_GB2312" w:cs="Times New Roman"/>
          <w:b w:val="0"/>
          <w:bCs w:val="0"/>
          <w:kern w:val="0"/>
          <w:szCs w:val="32"/>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8" w:header="851" w:footer="992" w:gutter="0"/>
          <w:pgBorders>
            <w:top w:val="none" w:sz="0" w:space="0"/>
            <w:left w:val="none" w:sz="0" w:space="0"/>
            <w:bottom w:val="none" w:sz="0" w:space="0"/>
            <w:right w:val="none" w:sz="0" w:space="0"/>
          </w:pgBorders>
          <w:pgNumType w:fmt="numberInDash" w:start="1"/>
          <w:cols w:space="0" w:num="1"/>
          <w:docGrid w:linePitch="312" w:charSpace="0"/>
        </w:sectPr>
      </w:pPr>
      <w:r>
        <w:rPr>
          <w:rFonts w:hint="eastAsia" w:eastAsia="楷体_GB2312" w:cs="Times New Roman"/>
          <w:b w:val="0"/>
          <w:bCs w:val="0"/>
          <w:kern w:val="0"/>
          <w:szCs w:val="32"/>
        </w:rPr>
        <w:t>2021年</w:t>
      </w:r>
      <w:r>
        <w:rPr>
          <w:rFonts w:hint="eastAsia" w:eastAsia="楷体_GB2312" w:cs="Times New Roman"/>
          <w:b w:val="0"/>
          <w:bCs w:val="0"/>
          <w:kern w:val="0"/>
          <w:szCs w:val="32"/>
          <w:lang w:val="en-US" w:eastAsia="zh-CN"/>
        </w:rPr>
        <w:t>11</w:t>
      </w:r>
      <w:r>
        <w:rPr>
          <w:rFonts w:hint="eastAsia" w:eastAsia="楷体_GB2312" w:cs="Times New Roman"/>
          <w:b w:val="0"/>
          <w:bCs w:val="0"/>
          <w:kern w:val="0"/>
          <w:szCs w:val="32"/>
        </w:rPr>
        <w:t>月</w:t>
      </w:r>
      <w:r>
        <w:rPr>
          <w:rFonts w:hint="eastAsia" w:eastAsia="楷体_GB2312" w:cs="Times New Roman"/>
          <w:b w:val="0"/>
          <w:bCs w:val="0"/>
          <w:kern w:val="0"/>
          <w:szCs w:val="32"/>
          <w:lang w:eastAsia="zh-CN"/>
        </w:rPr>
        <w:t>修订</w:t>
      </w:r>
    </w:p>
    <w:sdt>
      <w:sdtPr>
        <w:rPr>
          <w:rFonts w:ascii="宋体" w:hAnsi="宋体" w:eastAsia="宋体"/>
          <w:sz w:val="21"/>
        </w:rPr>
        <w:id w:val="147479500"/>
        <w:docPartObj>
          <w:docPartGallery w:val="Table of Contents"/>
          <w:docPartUnique/>
        </w:docPartObj>
      </w:sdtPr>
      <w:sdtEndPr>
        <w:rPr>
          <w:rFonts w:ascii="宋体" w:hAnsi="宋体" w:eastAsia="宋体"/>
          <w:b/>
          <w:sz w:val="21"/>
          <w:szCs w:val="30"/>
        </w:rPr>
      </w:sdtEndPr>
      <w:sdtContent>
        <w:p>
          <w:pPr>
            <w:spacing w:before="120" w:beforeLines="50" w:after="120" w:afterLines="50" w:line="400" w:lineRule="exact"/>
            <w:ind w:firstLine="0" w:firstLineChars="0"/>
            <w:jc w:val="center"/>
            <w:rPr>
              <w:rFonts w:ascii="宋体" w:hAnsi="宋体" w:eastAsia="宋体" w:cs="宋体"/>
              <w:b/>
              <w:bCs/>
              <w:szCs w:val="32"/>
            </w:rPr>
          </w:pPr>
          <w:bookmarkStart w:id="1" w:name="_Toc10545795"/>
          <w:bookmarkStart w:id="2" w:name="_Toc12549112"/>
          <w:r>
            <w:rPr>
              <w:rFonts w:hint="eastAsia" w:ascii="宋体" w:hAnsi="宋体" w:eastAsia="宋体" w:cs="宋体"/>
              <w:b/>
              <w:bCs/>
              <w:sz w:val="44"/>
              <w:szCs w:val="44"/>
            </w:rPr>
            <w:t>目  录</w:t>
          </w:r>
        </w:p>
        <w:p>
          <w:pPr>
            <w:pStyle w:val="22"/>
            <w:tabs>
              <w:tab w:val="right" w:leader="dot" w:pos="8730"/>
            </w:tabs>
            <w:spacing w:line="400" w:lineRule="exact"/>
            <w:rPr>
              <w:rFonts w:ascii="宋体" w:hAnsi="宋体" w:cs="宋体"/>
              <w:b/>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TOC \o "1-2" \h \u </w:instrText>
          </w:r>
          <w:r>
            <w:rPr>
              <w:rFonts w:hint="eastAsia" w:ascii="宋体" w:hAnsi="宋体" w:cs="宋体"/>
              <w:b/>
              <w:sz w:val="24"/>
              <w:szCs w:val="24"/>
            </w:rPr>
            <w:fldChar w:fldCharType="separate"/>
          </w:r>
          <w:r>
            <w:fldChar w:fldCharType="begin"/>
          </w:r>
          <w:r>
            <w:instrText xml:space="preserve"> HYPERLINK \l "_Toc23582" </w:instrText>
          </w:r>
          <w:r>
            <w:fldChar w:fldCharType="separate"/>
          </w:r>
          <w:r>
            <w:rPr>
              <w:rFonts w:hint="eastAsia" w:ascii="宋体" w:hAnsi="宋体" w:cs="宋体"/>
              <w:b/>
              <w:bCs/>
              <w:sz w:val="24"/>
              <w:szCs w:val="24"/>
            </w:rPr>
            <w:t>第一章 审视发展态势 开启紫阳乡村振兴新征程</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_Toc23582 </w:instrText>
          </w:r>
          <w:r>
            <w:rPr>
              <w:rFonts w:hint="eastAsia" w:ascii="宋体" w:hAnsi="宋体" w:cs="宋体"/>
              <w:b/>
              <w:sz w:val="24"/>
              <w:szCs w:val="24"/>
            </w:rPr>
            <w:fldChar w:fldCharType="separate"/>
          </w:r>
          <w:r>
            <w:rPr>
              <w:rFonts w:hint="eastAsia" w:ascii="宋体" w:hAnsi="宋体" w:cs="宋体"/>
              <w:b/>
              <w:sz w:val="24"/>
              <w:szCs w:val="24"/>
            </w:rPr>
            <w:t>- 1 -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"_Toc19744" </w:instrText>
          </w:r>
          <w:r>
            <w:fldChar w:fldCharType="separate"/>
          </w:r>
          <w:r>
            <w:rPr>
              <w:rFonts w:hint="eastAsia" w:ascii="宋体" w:hAnsi="宋体" w:cs="宋体"/>
              <w:bCs/>
              <w:sz w:val="24"/>
              <w:szCs w:val="24"/>
            </w:rPr>
            <w:t>一、振兴基础</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_Toc19744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"_Toc16717" </w:instrText>
          </w:r>
          <w:r>
            <w:fldChar w:fldCharType="separate"/>
          </w:r>
          <w:r>
            <w:rPr>
              <w:rFonts w:hint="eastAsia" w:ascii="宋体" w:hAnsi="宋体" w:cs="宋体"/>
              <w:bCs/>
              <w:sz w:val="24"/>
              <w:szCs w:val="24"/>
            </w:rPr>
            <w:t>二、有利条件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_Toc16717 </w:instrText>
          </w:r>
          <w:r>
            <w:rPr>
              <w:rFonts w:hint="eastAsia" w:ascii="宋体" w:hAnsi="宋体" w:cs="宋体"/>
              <w:sz w:val="24"/>
              <w:szCs w:val="24"/>
            </w:rPr>
            <w:fldChar w:fldCharType="separate"/>
          </w:r>
          <w:r>
            <w:rPr>
              <w:rFonts w:hint="eastAsia" w:ascii="宋体" w:hAnsi="宋体" w:cs="宋体"/>
              <w:sz w:val="24"/>
              <w:szCs w:val="24"/>
            </w:rPr>
            <w:t>- 5 -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"_Toc284" </w:instrText>
          </w:r>
          <w:r>
            <w:fldChar w:fldCharType="separate"/>
          </w:r>
          <w:r>
            <w:rPr>
              <w:rFonts w:hint="eastAsia" w:ascii="宋体" w:hAnsi="宋体" w:cs="宋体"/>
              <w:b/>
              <w:bCs/>
              <w:sz w:val="24"/>
              <w:szCs w:val="24"/>
            </w:rPr>
            <w:t>第二章 创新发展模式 打造全国乡村振兴示范县</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_Toc284 </w:instrText>
          </w:r>
          <w:r>
            <w:rPr>
              <w:rFonts w:hint="eastAsia" w:ascii="宋体" w:hAnsi="宋体" w:cs="宋体"/>
              <w:b/>
              <w:sz w:val="24"/>
              <w:szCs w:val="24"/>
            </w:rPr>
            <w:fldChar w:fldCharType="separate"/>
          </w:r>
          <w:r>
            <w:rPr>
              <w:rFonts w:hint="eastAsia" w:ascii="宋体" w:hAnsi="宋体" w:cs="宋体"/>
              <w:b/>
              <w:sz w:val="24"/>
              <w:szCs w:val="24"/>
            </w:rPr>
            <w:t>- 7 -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"_Toc22240" </w:instrText>
          </w:r>
          <w:r>
            <w:fldChar w:fldCharType="separate"/>
          </w:r>
          <w:r>
            <w:rPr>
              <w:rFonts w:hint="eastAsia" w:ascii="宋体" w:hAnsi="宋体" w:cs="宋体"/>
              <w:bCs/>
              <w:sz w:val="24"/>
              <w:szCs w:val="24"/>
            </w:rPr>
            <w:t>一、指导思想</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_Toc22240 </w:instrText>
          </w:r>
          <w:r>
            <w:rPr>
              <w:rFonts w:hint="eastAsia" w:ascii="宋体" w:hAnsi="宋体" w:cs="宋体"/>
              <w:sz w:val="24"/>
              <w:szCs w:val="24"/>
            </w:rPr>
            <w:fldChar w:fldCharType="separate"/>
          </w:r>
          <w:r>
            <w:rPr>
              <w:rFonts w:hint="eastAsia" w:ascii="宋体" w:hAnsi="宋体" w:cs="宋体"/>
              <w:sz w:val="24"/>
              <w:szCs w:val="24"/>
            </w:rPr>
            <w:t>- 7 -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"_Toc5998" </w:instrText>
          </w:r>
          <w:r>
            <w:fldChar w:fldCharType="separate"/>
          </w:r>
          <w:r>
            <w:rPr>
              <w:rFonts w:hint="eastAsia" w:ascii="宋体" w:hAnsi="宋体" w:cs="宋体"/>
              <w:bCs/>
              <w:sz w:val="24"/>
              <w:szCs w:val="24"/>
            </w:rPr>
            <w:t>二、战略定位</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_Toc5998 </w:instrText>
          </w:r>
          <w:r>
            <w:rPr>
              <w:rFonts w:hint="eastAsia" w:ascii="宋体" w:hAnsi="宋体" w:cs="宋体"/>
              <w:sz w:val="24"/>
              <w:szCs w:val="24"/>
            </w:rPr>
            <w:fldChar w:fldCharType="separate"/>
          </w:r>
          <w:r>
            <w:rPr>
              <w:rFonts w:hint="eastAsia" w:ascii="宋体" w:hAnsi="宋体" w:cs="宋体"/>
              <w:sz w:val="24"/>
              <w:szCs w:val="24"/>
            </w:rPr>
            <w:t>- 8 -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"_Toc19427" </w:instrText>
          </w:r>
          <w:r>
            <w:fldChar w:fldCharType="separate"/>
          </w:r>
          <w:r>
            <w:rPr>
              <w:rFonts w:hint="eastAsia" w:ascii="宋体" w:hAnsi="宋体" w:cs="宋体"/>
              <w:bCs/>
              <w:sz w:val="24"/>
              <w:szCs w:val="24"/>
            </w:rPr>
            <w:t>三、发展目标</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_Toc19427 </w:instrText>
          </w:r>
          <w:r>
            <w:rPr>
              <w:rFonts w:hint="eastAsia" w:ascii="宋体" w:hAnsi="宋体" w:cs="宋体"/>
              <w:sz w:val="24"/>
              <w:szCs w:val="24"/>
            </w:rPr>
            <w:fldChar w:fldCharType="separate"/>
          </w:r>
          <w:r>
            <w:rPr>
              <w:rFonts w:hint="eastAsia" w:ascii="宋体" w:hAnsi="宋体" w:cs="宋体"/>
              <w:sz w:val="24"/>
              <w:szCs w:val="24"/>
            </w:rPr>
            <w:t>- 9 -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"_Toc22807" </w:instrText>
          </w:r>
          <w:r>
            <w:fldChar w:fldCharType="separate"/>
          </w:r>
          <w:r>
            <w:rPr>
              <w:rFonts w:hint="eastAsia" w:ascii="宋体" w:hAnsi="宋体" w:cs="宋体"/>
              <w:bCs/>
              <w:sz w:val="24"/>
              <w:szCs w:val="24"/>
            </w:rPr>
            <w:t>四、远景展望</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_Toc22807 </w:instrText>
          </w:r>
          <w:r>
            <w:rPr>
              <w:rFonts w:hint="eastAsia" w:ascii="宋体" w:hAnsi="宋体" w:cs="宋体"/>
              <w:sz w:val="24"/>
              <w:szCs w:val="24"/>
            </w:rPr>
            <w:fldChar w:fldCharType="separate"/>
          </w:r>
          <w:r>
            <w:rPr>
              <w:rFonts w:hint="eastAsia" w:ascii="宋体" w:hAnsi="宋体" w:cs="宋体"/>
              <w:sz w:val="24"/>
              <w:szCs w:val="24"/>
            </w:rPr>
            <w:t>- 12 -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"_Toc19183" </w:instrText>
          </w:r>
          <w:r>
            <w:fldChar w:fldCharType="separate"/>
          </w:r>
          <w:r>
            <w:rPr>
              <w:rFonts w:hint="eastAsia" w:ascii="宋体" w:hAnsi="宋体" w:cs="宋体"/>
              <w:b/>
              <w:bCs/>
              <w:sz w:val="24"/>
              <w:szCs w:val="24"/>
            </w:rPr>
            <w:t>第三章 优化空间结构 构建县镇村联动发展新格局</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_Toc19183 </w:instrText>
          </w:r>
          <w:r>
            <w:rPr>
              <w:rFonts w:hint="eastAsia" w:ascii="宋体" w:hAnsi="宋体" w:cs="宋体"/>
              <w:b/>
              <w:sz w:val="24"/>
              <w:szCs w:val="24"/>
            </w:rPr>
            <w:fldChar w:fldCharType="separate"/>
          </w:r>
          <w:r>
            <w:rPr>
              <w:rFonts w:hint="eastAsia" w:ascii="宋体" w:hAnsi="宋体" w:cs="宋体"/>
              <w:b/>
              <w:sz w:val="24"/>
              <w:szCs w:val="24"/>
            </w:rPr>
            <w:t>- 14 -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"_Toc7553" </w:instrText>
          </w:r>
          <w:r>
            <w:fldChar w:fldCharType="separate"/>
          </w:r>
          <w:r>
            <w:rPr>
              <w:rFonts w:hint="eastAsia" w:ascii="宋体" w:hAnsi="宋体" w:cs="宋体"/>
              <w:bCs/>
              <w:sz w:val="24"/>
              <w:szCs w:val="24"/>
            </w:rPr>
            <w:t>一、统筹城乡发展空间</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_Toc7553 </w:instrText>
          </w:r>
          <w:r>
            <w:rPr>
              <w:rFonts w:hint="eastAsia" w:ascii="宋体" w:hAnsi="宋体" w:cs="宋体"/>
              <w:sz w:val="24"/>
              <w:szCs w:val="24"/>
            </w:rPr>
            <w:fldChar w:fldCharType="separate"/>
          </w:r>
          <w:r>
            <w:rPr>
              <w:rFonts w:hint="eastAsia" w:ascii="宋体" w:hAnsi="宋体" w:cs="宋体"/>
              <w:sz w:val="24"/>
              <w:szCs w:val="24"/>
            </w:rPr>
            <w:t>- 14 -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"_Toc4143" </w:instrText>
          </w:r>
          <w:r>
            <w:fldChar w:fldCharType="separate"/>
          </w:r>
          <w:r>
            <w:rPr>
              <w:rFonts w:hint="eastAsia" w:ascii="宋体" w:hAnsi="宋体" w:cs="宋体"/>
              <w:bCs/>
              <w:sz w:val="24"/>
              <w:szCs w:val="24"/>
            </w:rPr>
            <w:t>二、分类推进乡村发展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_Toc4143 </w:instrText>
          </w:r>
          <w:r>
            <w:rPr>
              <w:rFonts w:hint="eastAsia" w:ascii="宋体" w:hAnsi="宋体" w:cs="宋体"/>
              <w:sz w:val="24"/>
              <w:szCs w:val="24"/>
            </w:rPr>
            <w:fldChar w:fldCharType="separate"/>
          </w:r>
          <w:r>
            <w:rPr>
              <w:rFonts w:hint="eastAsia" w:ascii="宋体" w:hAnsi="宋体" w:cs="宋体"/>
              <w:sz w:val="24"/>
              <w:szCs w:val="24"/>
            </w:rPr>
            <w:t>- 16 -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"_Toc4326" </w:instrText>
          </w:r>
          <w:r>
            <w:fldChar w:fldCharType="separate"/>
          </w:r>
          <w:r>
            <w:rPr>
              <w:rFonts w:hint="eastAsia" w:ascii="宋体" w:hAnsi="宋体" w:cs="宋体"/>
              <w:b/>
              <w:bCs/>
              <w:sz w:val="24"/>
              <w:szCs w:val="24"/>
            </w:rPr>
            <w:t>第四章 打赢脱贫攻坚决战 全面完成乡村振兴优先任务</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_Toc4326 </w:instrText>
          </w:r>
          <w:r>
            <w:rPr>
              <w:rFonts w:hint="eastAsia" w:ascii="宋体" w:hAnsi="宋体" w:cs="宋体"/>
              <w:b/>
              <w:sz w:val="24"/>
              <w:szCs w:val="24"/>
            </w:rPr>
            <w:fldChar w:fldCharType="separate"/>
          </w:r>
          <w:r>
            <w:rPr>
              <w:rFonts w:hint="eastAsia" w:ascii="宋体" w:hAnsi="宋体" w:cs="宋体"/>
              <w:b/>
              <w:sz w:val="24"/>
              <w:szCs w:val="24"/>
            </w:rPr>
            <w:t>- 23 -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"_Toc31920" </w:instrText>
          </w:r>
          <w:r>
            <w:fldChar w:fldCharType="separate"/>
          </w:r>
          <w:r>
            <w:rPr>
              <w:rFonts w:hint="eastAsia" w:ascii="宋体" w:hAnsi="宋体" w:cs="宋体"/>
              <w:bCs/>
              <w:sz w:val="24"/>
              <w:szCs w:val="24"/>
            </w:rPr>
            <w:t>一、决战决胜脱贫攻坚</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_Toc31920 </w:instrText>
          </w:r>
          <w:r>
            <w:rPr>
              <w:rFonts w:hint="eastAsia" w:ascii="宋体" w:hAnsi="宋体" w:cs="宋体"/>
              <w:sz w:val="24"/>
              <w:szCs w:val="24"/>
            </w:rPr>
            <w:fldChar w:fldCharType="separate"/>
          </w:r>
          <w:r>
            <w:rPr>
              <w:rFonts w:hint="eastAsia" w:ascii="宋体" w:hAnsi="宋体" w:cs="宋体"/>
              <w:sz w:val="24"/>
              <w:szCs w:val="24"/>
            </w:rPr>
            <w:t>- 23 -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"_Toc18165" </w:instrText>
          </w:r>
          <w:r>
            <w:fldChar w:fldCharType="separate"/>
          </w:r>
          <w:r>
            <w:rPr>
              <w:rFonts w:hint="eastAsia" w:ascii="宋体" w:hAnsi="宋体" w:cs="宋体"/>
              <w:bCs/>
              <w:sz w:val="24"/>
              <w:szCs w:val="24"/>
            </w:rPr>
            <w:t>二、</w:t>
          </w:r>
          <w:r>
            <w:rPr>
              <w:rFonts w:hint="eastAsia" w:ascii="宋体" w:hAnsi="宋体" w:cs="宋体"/>
              <w:bCs/>
              <w:sz w:val="24"/>
              <w:szCs w:val="24"/>
            </w:rPr>
            <w:fldChar w:fldCharType="end"/>
          </w:r>
          <w:r>
            <w:rPr>
              <w:rFonts w:hint="eastAsia" w:ascii="宋体" w:hAnsi="宋体" w:cs="宋体"/>
              <w:sz w:val="24"/>
              <w:szCs w:val="24"/>
            </w:rPr>
            <w:t>全面完成剩余贫困人口脱贫</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_Toc31920 </w:instrText>
          </w:r>
          <w:r>
            <w:rPr>
              <w:rFonts w:hint="eastAsia" w:ascii="宋体" w:hAnsi="宋体" w:cs="宋体"/>
              <w:sz w:val="24"/>
              <w:szCs w:val="24"/>
            </w:rPr>
            <w:fldChar w:fldCharType="separate"/>
          </w:r>
          <w:r>
            <w:rPr>
              <w:rFonts w:hint="eastAsia" w:ascii="宋体" w:hAnsi="宋体" w:cs="宋体"/>
              <w:sz w:val="24"/>
              <w:szCs w:val="24"/>
            </w:rPr>
            <w:t>- 23 -</w:t>
          </w:r>
          <w:r>
            <w:rPr>
              <w:rFonts w:hint="eastAsia" w:ascii="宋体" w:hAnsi="宋体" w:cs="宋体"/>
              <w:sz w:val="24"/>
              <w:szCs w:val="24"/>
            </w:rPr>
            <w:fldChar w:fldCharType="end"/>
          </w:r>
          <w:r>
            <w:rPr>
              <w:rFonts w:hint="eastAsia" w:ascii="宋体" w:hAnsi="宋体" w:cs="宋体"/>
              <w:sz w:val="24"/>
              <w:szCs w:val="24"/>
            </w:rPr>
            <w:t xml:space="preserve"> </w:t>
          </w:r>
        </w:p>
        <w:p>
          <w:pPr>
            <w:pStyle w:val="23"/>
            <w:tabs>
              <w:tab w:val="right" w:leader="dot" w:pos="8730"/>
            </w:tabs>
            <w:spacing w:line="400" w:lineRule="exact"/>
            <w:ind w:left="640"/>
            <w:rPr>
              <w:rFonts w:ascii="宋体" w:hAnsi="宋体" w:cs="宋体"/>
              <w:sz w:val="24"/>
              <w:szCs w:val="24"/>
            </w:rPr>
          </w:pPr>
          <w:r>
            <w:rPr>
              <w:rFonts w:hint="eastAsia" w:ascii="宋体" w:hAnsi="宋体" w:cs="宋体"/>
              <w:sz w:val="24"/>
              <w:szCs w:val="24"/>
            </w:rPr>
            <w:t>三、</w:t>
          </w:r>
          <w:r>
            <w:rPr>
              <w:rFonts w:hint="eastAsia" w:ascii="宋体" w:hAnsi="宋体" w:cs="宋体"/>
              <w:bCs/>
              <w:sz w:val="24"/>
              <w:szCs w:val="24"/>
            </w:rPr>
            <w:t>巩固拓展脱贫攻坚成果</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_Toc18165 </w:instrText>
          </w:r>
          <w:r>
            <w:rPr>
              <w:rFonts w:hint="eastAsia" w:ascii="宋体" w:hAnsi="宋体" w:cs="宋体"/>
              <w:sz w:val="24"/>
              <w:szCs w:val="24"/>
            </w:rPr>
            <w:fldChar w:fldCharType="separate"/>
          </w:r>
          <w:r>
            <w:rPr>
              <w:rFonts w:hint="eastAsia" w:ascii="宋体" w:hAnsi="宋体" w:cs="宋体"/>
              <w:sz w:val="24"/>
              <w:szCs w:val="24"/>
            </w:rPr>
            <w:t>- 24 -</w:t>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"_Toc30957" </w:instrText>
          </w:r>
          <w:r>
            <w:fldChar w:fldCharType="separate"/>
          </w:r>
          <w:r>
            <w:rPr>
              <w:rFonts w:hint="eastAsia" w:ascii="宋体" w:hAnsi="宋体" w:cs="宋体"/>
              <w:b/>
              <w:bCs/>
              <w:sz w:val="24"/>
              <w:szCs w:val="24"/>
            </w:rPr>
            <w:t>第五章 加快新旧动能转换 推动乡村特色产业振兴</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_Toc30957 </w:instrText>
          </w:r>
          <w:r>
            <w:rPr>
              <w:rFonts w:hint="eastAsia" w:ascii="宋体" w:hAnsi="宋体" w:cs="宋体"/>
              <w:b/>
              <w:sz w:val="24"/>
              <w:szCs w:val="24"/>
            </w:rPr>
            <w:fldChar w:fldCharType="separate"/>
          </w:r>
          <w:r>
            <w:rPr>
              <w:rFonts w:hint="eastAsia" w:ascii="宋体" w:hAnsi="宋体" w:cs="宋体"/>
              <w:b/>
              <w:sz w:val="24"/>
              <w:szCs w:val="24"/>
            </w:rPr>
            <w:t>- 26 -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"_Toc17308" </w:instrText>
          </w:r>
          <w:r>
            <w:fldChar w:fldCharType="separate"/>
          </w:r>
          <w:r>
            <w:rPr>
              <w:rFonts w:hint="eastAsia" w:ascii="宋体" w:hAnsi="宋体" w:cs="宋体"/>
              <w:bCs/>
              <w:sz w:val="24"/>
              <w:szCs w:val="24"/>
            </w:rPr>
            <w:t>一、构建“1+5+X”农业产业体系</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_Toc17308 </w:instrText>
          </w:r>
          <w:r>
            <w:rPr>
              <w:rFonts w:hint="eastAsia" w:ascii="宋体" w:hAnsi="宋体" w:cs="宋体"/>
              <w:sz w:val="24"/>
              <w:szCs w:val="24"/>
            </w:rPr>
            <w:fldChar w:fldCharType="separate"/>
          </w:r>
          <w:r>
            <w:rPr>
              <w:rFonts w:hint="eastAsia" w:ascii="宋体" w:hAnsi="宋体" w:cs="宋体"/>
              <w:sz w:val="24"/>
              <w:szCs w:val="24"/>
            </w:rPr>
            <w:t>- 26 -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"_Toc18679" </w:instrText>
          </w:r>
          <w:r>
            <w:fldChar w:fldCharType="separate"/>
          </w:r>
          <w:r>
            <w:rPr>
              <w:rFonts w:hint="eastAsia" w:ascii="宋体" w:hAnsi="宋体" w:cs="宋体"/>
              <w:bCs/>
              <w:sz w:val="24"/>
              <w:szCs w:val="24"/>
            </w:rPr>
            <w:t>二、完善现代农业生产体系</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_Toc18679 </w:instrText>
          </w:r>
          <w:r>
            <w:rPr>
              <w:rFonts w:hint="eastAsia" w:ascii="宋体" w:hAnsi="宋体" w:cs="宋体"/>
              <w:sz w:val="24"/>
              <w:szCs w:val="24"/>
            </w:rPr>
            <w:fldChar w:fldCharType="separate"/>
          </w:r>
          <w:r>
            <w:rPr>
              <w:rFonts w:hint="eastAsia" w:ascii="宋体" w:hAnsi="宋体" w:cs="宋体"/>
              <w:sz w:val="24"/>
              <w:szCs w:val="24"/>
            </w:rPr>
            <w:t>- 28 -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"_Toc13088" </w:instrText>
          </w:r>
          <w:r>
            <w:fldChar w:fldCharType="separate"/>
          </w:r>
          <w:r>
            <w:rPr>
              <w:rFonts w:hint="eastAsia" w:ascii="宋体" w:hAnsi="宋体" w:cs="宋体"/>
              <w:bCs/>
              <w:sz w:val="24"/>
              <w:szCs w:val="24"/>
            </w:rPr>
            <w:t>三、健全现代农业经营体系</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_Toc13088 </w:instrText>
          </w:r>
          <w:r>
            <w:rPr>
              <w:rFonts w:hint="eastAsia" w:ascii="宋体" w:hAnsi="宋体" w:cs="宋体"/>
              <w:sz w:val="24"/>
              <w:szCs w:val="24"/>
            </w:rPr>
            <w:fldChar w:fldCharType="separate"/>
          </w:r>
          <w:r>
            <w:rPr>
              <w:rFonts w:hint="eastAsia" w:ascii="宋体" w:hAnsi="宋体" w:cs="宋体"/>
              <w:sz w:val="24"/>
              <w:szCs w:val="24"/>
            </w:rPr>
            <w:t>- 32 -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"_Toc18092" </w:instrText>
          </w:r>
          <w:r>
            <w:fldChar w:fldCharType="separate"/>
          </w:r>
          <w:r>
            <w:rPr>
              <w:rFonts w:hint="eastAsia" w:ascii="宋体" w:hAnsi="宋体" w:cs="宋体"/>
              <w:bCs/>
              <w:sz w:val="24"/>
              <w:szCs w:val="24"/>
            </w:rPr>
            <w:t>四、促进农村一二三产融合发展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_Toc18092 </w:instrText>
          </w:r>
          <w:r>
            <w:rPr>
              <w:rFonts w:hint="eastAsia" w:ascii="宋体" w:hAnsi="宋体" w:cs="宋体"/>
              <w:sz w:val="24"/>
              <w:szCs w:val="24"/>
            </w:rPr>
            <w:fldChar w:fldCharType="separate"/>
          </w:r>
          <w:r>
            <w:rPr>
              <w:rFonts w:hint="eastAsia" w:ascii="宋体" w:hAnsi="宋体" w:cs="宋体"/>
              <w:sz w:val="24"/>
              <w:szCs w:val="24"/>
            </w:rPr>
            <w:t>- 35 -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"_Toc5092" </w:instrText>
          </w:r>
          <w:r>
            <w:fldChar w:fldCharType="separate"/>
          </w:r>
          <w:r>
            <w:rPr>
              <w:rFonts w:hint="eastAsia" w:ascii="宋体" w:hAnsi="宋体" w:cs="宋体"/>
              <w:b/>
              <w:bCs/>
              <w:sz w:val="24"/>
              <w:szCs w:val="24"/>
            </w:rPr>
            <w:t>第六章 彰显巴山汉水特色 建设生态美丽宜居乡村</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_Toc5092 </w:instrText>
          </w:r>
          <w:r>
            <w:rPr>
              <w:rFonts w:hint="eastAsia" w:ascii="宋体" w:hAnsi="宋体" w:cs="宋体"/>
              <w:b/>
              <w:sz w:val="24"/>
              <w:szCs w:val="24"/>
            </w:rPr>
            <w:fldChar w:fldCharType="separate"/>
          </w:r>
          <w:r>
            <w:rPr>
              <w:rFonts w:hint="eastAsia" w:ascii="宋体" w:hAnsi="宋体" w:cs="宋体"/>
              <w:b/>
              <w:sz w:val="24"/>
              <w:szCs w:val="24"/>
            </w:rPr>
            <w:t>- 40 -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"_Toc23255" </w:instrText>
          </w:r>
          <w:r>
            <w:fldChar w:fldCharType="separate"/>
          </w:r>
          <w:r>
            <w:rPr>
              <w:rFonts w:hint="eastAsia" w:ascii="宋体" w:hAnsi="宋体" w:cs="宋体"/>
              <w:bCs/>
              <w:sz w:val="24"/>
              <w:szCs w:val="24"/>
            </w:rPr>
            <w:t>一、推进农业绿色发展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_Toc23255 </w:instrText>
          </w:r>
          <w:r>
            <w:rPr>
              <w:rFonts w:hint="eastAsia" w:ascii="宋体" w:hAnsi="宋体" w:cs="宋体"/>
              <w:sz w:val="24"/>
              <w:szCs w:val="24"/>
            </w:rPr>
            <w:fldChar w:fldCharType="separate"/>
          </w:r>
          <w:r>
            <w:rPr>
              <w:rFonts w:hint="eastAsia" w:ascii="宋体" w:hAnsi="宋体" w:cs="宋体"/>
              <w:sz w:val="24"/>
              <w:szCs w:val="24"/>
            </w:rPr>
            <w:t>- 40 -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"_Toc26519" </w:instrText>
          </w:r>
          <w:r>
            <w:fldChar w:fldCharType="separate"/>
          </w:r>
          <w:r>
            <w:rPr>
              <w:rFonts w:hint="eastAsia" w:ascii="宋体" w:hAnsi="宋体" w:cs="宋体"/>
              <w:bCs/>
              <w:sz w:val="24"/>
              <w:szCs w:val="24"/>
            </w:rPr>
            <w:t>二、实施人居环境提升行动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_Toc26519 </w:instrText>
          </w:r>
          <w:r>
            <w:rPr>
              <w:rFonts w:hint="eastAsia" w:ascii="宋体" w:hAnsi="宋体" w:cs="宋体"/>
              <w:sz w:val="24"/>
              <w:szCs w:val="24"/>
            </w:rPr>
            <w:fldChar w:fldCharType="separate"/>
          </w:r>
          <w:r>
            <w:rPr>
              <w:rFonts w:hint="eastAsia" w:ascii="宋体" w:hAnsi="宋体" w:cs="宋体"/>
              <w:sz w:val="24"/>
              <w:szCs w:val="24"/>
            </w:rPr>
            <w:t>- 42 -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"_Toc5177" </w:instrText>
          </w:r>
          <w:r>
            <w:fldChar w:fldCharType="separate"/>
          </w:r>
          <w:r>
            <w:rPr>
              <w:rFonts w:hint="eastAsia" w:ascii="宋体" w:hAnsi="宋体" w:cs="宋体"/>
              <w:bCs/>
              <w:sz w:val="24"/>
              <w:szCs w:val="24"/>
            </w:rPr>
            <w:t>三、加快“生态紫阳”建设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_Toc5177 </w:instrText>
          </w:r>
          <w:r>
            <w:rPr>
              <w:rFonts w:hint="eastAsia" w:ascii="宋体" w:hAnsi="宋体" w:cs="宋体"/>
              <w:sz w:val="24"/>
              <w:szCs w:val="24"/>
            </w:rPr>
            <w:fldChar w:fldCharType="separate"/>
          </w:r>
          <w:r>
            <w:rPr>
              <w:rFonts w:hint="eastAsia" w:ascii="宋体" w:hAnsi="宋体" w:cs="宋体"/>
              <w:sz w:val="24"/>
              <w:szCs w:val="24"/>
            </w:rPr>
            <w:t>- 44 -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"_Toc28320" </w:instrText>
          </w:r>
          <w:r>
            <w:fldChar w:fldCharType="separate"/>
          </w:r>
          <w:r>
            <w:rPr>
              <w:rFonts w:hint="eastAsia" w:ascii="宋体" w:hAnsi="宋体" w:cs="宋体"/>
              <w:bCs/>
              <w:sz w:val="24"/>
              <w:szCs w:val="24"/>
            </w:rPr>
            <w:t>四、健全生态保护长效机制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_Toc28320 </w:instrText>
          </w:r>
          <w:r>
            <w:rPr>
              <w:rFonts w:hint="eastAsia" w:ascii="宋体" w:hAnsi="宋体" w:cs="宋体"/>
              <w:sz w:val="24"/>
              <w:szCs w:val="24"/>
            </w:rPr>
            <w:fldChar w:fldCharType="separate"/>
          </w:r>
          <w:r>
            <w:rPr>
              <w:rFonts w:hint="eastAsia" w:ascii="宋体" w:hAnsi="宋体" w:cs="宋体"/>
              <w:sz w:val="24"/>
              <w:szCs w:val="24"/>
            </w:rPr>
            <w:t>- 46 -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"_Toc29625" </w:instrText>
          </w:r>
          <w:r>
            <w:fldChar w:fldCharType="separate"/>
          </w:r>
          <w:r>
            <w:rPr>
              <w:rFonts w:hint="eastAsia" w:ascii="宋体" w:hAnsi="宋体" w:cs="宋体"/>
              <w:b/>
              <w:bCs/>
              <w:sz w:val="24"/>
              <w:szCs w:val="24"/>
            </w:rPr>
            <w:t>第七章 大力培育乡风文明 提升乡村振兴内涵</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_Toc29625 </w:instrText>
          </w:r>
          <w:r>
            <w:rPr>
              <w:rFonts w:hint="eastAsia" w:ascii="宋体" w:hAnsi="宋体" w:cs="宋体"/>
              <w:b/>
              <w:sz w:val="24"/>
              <w:szCs w:val="24"/>
            </w:rPr>
            <w:fldChar w:fldCharType="separate"/>
          </w:r>
          <w:r>
            <w:rPr>
              <w:rFonts w:hint="eastAsia" w:ascii="宋体" w:hAnsi="宋体" w:cs="宋体"/>
              <w:b/>
              <w:sz w:val="24"/>
              <w:szCs w:val="24"/>
            </w:rPr>
            <w:t>- 49 -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"_Toc18420" </w:instrText>
          </w:r>
          <w:r>
            <w:fldChar w:fldCharType="separate"/>
          </w:r>
          <w:r>
            <w:rPr>
              <w:rFonts w:hint="eastAsia" w:ascii="宋体" w:hAnsi="宋体" w:cs="宋体"/>
              <w:bCs/>
              <w:sz w:val="24"/>
              <w:szCs w:val="24"/>
            </w:rPr>
            <w:t>一、加强乡村文明建设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_Toc18420 </w:instrText>
          </w:r>
          <w:r>
            <w:rPr>
              <w:rFonts w:hint="eastAsia" w:ascii="宋体" w:hAnsi="宋体" w:cs="宋体"/>
              <w:sz w:val="24"/>
              <w:szCs w:val="24"/>
            </w:rPr>
            <w:fldChar w:fldCharType="separate"/>
          </w:r>
          <w:r>
            <w:rPr>
              <w:rFonts w:hint="eastAsia" w:ascii="宋体" w:hAnsi="宋体" w:cs="宋体"/>
              <w:sz w:val="24"/>
              <w:szCs w:val="24"/>
            </w:rPr>
            <w:t>- 49 -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"_Toc32603" </w:instrText>
          </w:r>
          <w:r>
            <w:fldChar w:fldCharType="separate"/>
          </w:r>
          <w:r>
            <w:rPr>
              <w:rFonts w:hint="eastAsia" w:ascii="宋体" w:hAnsi="宋体" w:cs="宋体"/>
              <w:bCs/>
              <w:sz w:val="24"/>
              <w:szCs w:val="24"/>
            </w:rPr>
            <w:t>二、弘扬独具特色的紫阳文化</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_Toc32603 </w:instrText>
          </w:r>
          <w:r>
            <w:rPr>
              <w:rFonts w:hint="eastAsia" w:ascii="宋体" w:hAnsi="宋体" w:cs="宋体"/>
              <w:sz w:val="24"/>
              <w:szCs w:val="24"/>
            </w:rPr>
            <w:fldChar w:fldCharType="separate"/>
          </w:r>
          <w:r>
            <w:rPr>
              <w:rFonts w:hint="eastAsia" w:ascii="宋体" w:hAnsi="宋体" w:cs="宋体"/>
              <w:sz w:val="24"/>
              <w:szCs w:val="24"/>
            </w:rPr>
            <w:t>- 50 -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"_Toc24783" </w:instrText>
          </w:r>
          <w:r>
            <w:fldChar w:fldCharType="separate"/>
          </w:r>
          <w:r>
            <w:rPr>
              <w:rFonts w:hint="eastAsia" w:ascii="宋体" w:hAnsi="宋体" w:cs="宋体"/>
              <w:bCs/>
              <w:sz w:val="24"/>
              <w:szCs w:val="24"/>
            </w:rPr>
            <w:t>三、加强乡村公共文化建设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_Toc24783 </w:instrText>
          </w:r>
          <w:r>
            <w:rPr>
              <w:rFonts w:hint="eastAsia" w:ascii="宋体" w:hAnsi="宋体" w:cs="宋体"/>
              <w:sz w:val="24"/>
              <w:szCs w:val="24"/>
            </w:rPr>
            <w:fldChar w:fldCharType="separate"/>
          </w:r>
          <w:r>
            <w:rPr>
              <w:rFonts w:hint="eastAsia" w:ascii="宋体" w:hAnsi="宋体" w:cs="宋体"/>
              <w:sz w:val="24"/>
              <w:szCs w:val="24"/>
            </w:rPr>
            <w:t>- 54 -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"_Toc31148" </w:instrText>
          </w:r>
          <w:r>
            <w:fldChar w:fldCharType="separate"/>
          </w:r>
          <w:r>
            <w:rPr>
              <w:rFonts w:hint="eastAsia" w:ascii="宋体" w:hAnsi="宋体" w:cs="宋体"/>
              <w:b/>
              <w:bCs/>
              <w:sz w:val="24"/>
              <w:szCs w:val="24"/>
            </w:rPr>
            <w:t>第八章 坚持“三治合一” 着力构建和谐善治乡村</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_Toc31148 </w:instrText>
          </w:r>
          <w:r>
            <w:rPr>
              <w:rFonts w:hint="eastAsia" w:ascii="宋体" w:hAnsi="宋体" w:cs="宋体"/>
              <w:b/>
              <w:sz w:val="24"/>
              <w:szCs w:val="24"/>
            </w:rPr>
            <w:fldChar w:fldCharType="separate"/>
          </w:r>
          <w:r>
            <w:rPr>
              <w:rFonts w:hint="eastAsia" w:ascii="宋体" w:hAnsi="宋体" w:cs="宋体"/>
              <w:b/>
              <w:sz w:val="24"/>
              <w:szCs w:val="24"/>
            </w:rPr>
            <w:t>- 56 -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"_Toc15063" </w:instrText>
          </w:r>
          <w:r>
            <w:fldChar w:fldCharType="separate"/>
          </w:r>
          <w:r>
            <w:rPr>
              <w:rFonts w:hint="eastAsia" w:ascii="宋体" w:hAnsi="宋体" w:cs="宋体"/>
              <w:bCs/>
              <w:sz w:val="24"/>
              <w:szCs w:val="24"/>
            </w:rPr>
            <w:t>一、加强农村基层党组织建设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_Toc15063 </w:instrText>
          </w:r>
          <w:r>
            <w:rPr>
              <w:rFonts w:hint="eastAsia" w:ascii="宋体" w:hAnsi="宋体" w:cs="宋体"/>
              <w:sz w:val="24"/>
              <w:szCs w:val="24"/>
            </w:rPr>
            <w:fldChar w:fldCharType="separate"/>
          </w:r>
          <w:r>
            <w:rPr>
              <w:rFonts w:hint="eastAsia" w:ascii="宋体" w:hAnsi="宋体" w:cs="宋体"/>
              <w:sz w:val="24"/>
              <w:szCs w:val="24"/>
            </w:rPr>
            <w:t>- 56 -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"_Toc18880" </w:instrText>
          </w:r>
          <w:r>
            <w:fldChar w:fldCharType="separate"/>
          </w:r>
          <w:r>
            <w:rPr>
              <w:rFonts w:hint="eastAsia" w:ascii="宋体" w:hAnsi="宋体" w:cs="宋体"/>
              <w:sz w:val="24"/>
              <w:szCs w:val="24"/>
            </w:rPr>
            <w:t>二、健全乡村治理体系</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_Toc18880 </w:instrText>
          </w:r>
          <w:r>
            <w:rPr>
              <w:rFonts w:hint="eastAsia" w:ascii="宋体" w:hAnsi="宋体" w:cs="宋体"/>
              <w:sz w:val="24"/>
              <w:szCs w:val="24"/>
            </w:rPr>
            <w:fldChar w:fldCharType="separate"/>
          </w:r>
          <w:r>
            <w:rPr>
              <w:rFonts w:hint="eastAsia" w:ascii="宋体" w:hAnsi="宋体" w:cs="宋体"/>
              <w:sz w:val="24"/>
              <w:szCs w:val="24"/>
            </w:rPr>
            <w:t>- 58 -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"_Toc1204" </w:instrText>
          </w:r>
          <w:r>
            <w:fldChar w:fldCharType="separate"/>
          </w:r>
          <w:r>
            <w:rPr>
              <w:rFonts w:hint="eastAsia" w:ascii="宋体" w:hAnsi="宋体" w:cs="宋体"/>
              <w:bCs/>
              <w:sz w:val="24"/>
              <w:szCs w:val="24"/>
            </w:rPr>
            <w:t>三、建设平安法治乡村</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_Toc1204 </w:instrText>
          </w:r>
          <w:r>
            <w:rPr>
              <w:rFonts w:hint="eastAsia" w:ascii="宋体" w:hAnsi="宋体" w:cs="宋体"/>
              <w:sz w:val="24"/>
              <w:szCs w:val="24"/>
            </w:rPr>
            <w:fldChar w:fldCharType="separate"/>
          </w:r>
          <w:r>
            <w:rPr>
              <w:rFonts w:hint="eastAsia" w:ascii="宋体" w:hAnsi="宋体" w:cs="宋体"/>
              <w:sz w:val="24"/>
              <w:szCs w:val="24"/>
            </w:rPr>
            <w:t>- 60 -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"_Toc16380" </w:instrText>
          </w:r>
          <w:r>
            <w:fldChar w:fldCharType="separate"/>
          </w:r>
          <w:r>
            <w:rPr>
              <w:rFonts w:hint="eastAsia" w:ascii="宋体" w:hAnsi="宋体" w:cs="宋体"/>
              <w:b/>
              <w:bCs/>
              <w:sz w:val="24"/>
              <w:szCs w:val="24"/>
            </w:rPr>
            <w:t>第九章 推动人才振兴 夯实乡村振兴智力支撑</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_Toc16380 </w:instrText>
          </w:r>
          <w:r>
            <w:rPr>
              <w:rFonts w:hint="eastAsia" w:ascii="宋体" w:hAnsi="宋体" w:cs="宋体"/>
              <w:b/>
              <w:sz w:val="24"/>
              <w:szCs w:val="24"/>
            </w:rPr>
            <w:fldChar w:fldCharType="separate"/>
          </w:r>
          <w:r>
            <w:rPr>
              <w:rFonts w:hint="eastAsia" w:ascii="宋体" w:hAnsi="宋体" w:cs="宋体"/>
              <w:b/>
              <w:sz w:val="24"/>
              <w:szCs w:val="24"/>
            </w:rPr>
            <w:t>- 62 -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"_Toc8235" </w:instrText>
          </w:r>
          <w:r>
            <w:fldChar w:fldCharType="separate"/>
          </w:r>
          <w:r>
            <w:rPr>
              <w:rFonts w:hint="eastAsia" w:ascii="宋体" w:hAnsi="宋体" w:cs="宋体"/>
              <w:bCs/>
              <w:sz w:val="24"/>
              <w:szCs w:val="24"/>
            </w:rPr>
            <w:t>一、壮大紫阳人才队伍</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_Toc8235 </w:instrText>
          </w:r>
          <w:r>
            <w:rPr>
              <w:rFonts w:hint="eastAsia" w:ascii="宋体" w:hAnsi="宋体" w:cs="宋体"/>
              <w:sz w:val="24"/>
              <w:szCs w:val="24"/>
            </w:rPr>
            <w:fldChar w:fldCharType="separate"/>
          </w:r>
          <w:r>
            <w:rPr>
              <w:rFonts w:hint="eastAsia" w:ascii="宋体" w:hAnsi="宋体" w:cs="宋体"/>
              <w:sz w:val="24"/>
              <w:szCs w:val="24"/>
            </w:rPr>
            <w:t>- 62 -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"_Toc1592" </w:instrText>
          </w:r>
          <w:r>
            <w:fldChar w:fldCharType="separate"/>
          </w:r>
          <w:r>
            <w:rPr>
              <w:rFonts w:hint="eastAsia" w:ascii="宋体" w:hAnsi="宋体" w:cs="宋体"/>
              <w:bCs/>
              <w:sz w:val="24"/>
              <w:szCs w:val="24"/>
            </w:rPr>
            <w:t>二、优化人才发展环境</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_Toc1592 </w:instrText>
          </w:r>
          <w:r>
            <w:rPr>
              <w:rFonts w:hint="eastAsia" w:ascii="宋体" w:hAnsi="宋体" w:cs="宋体"/>
              <w:sz w:val="24"/>
              <w:szCs w:val="24"/>
            </w:rPr>
            <w:fldChar w:fldCharType="separate"/>
          </w:r>
          <w:r>
            <w:rPr>
              <w:rFonts w:hint="eastAsia" w:ascii="宋体" w:hAnsi="宋体" w:cs="宋体"/>
              <w:sz w:val="24"/>
              <w:szCs w:val="24"/>
            </w:rPr>
            <w:t>- 64 -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"_Toc18997" </w:instrText>
          </w:r>
          <w:r>
            <w:fldChar w:fldCharType="separate"/>
          </w:r>
          <w:r>
            <w:rPr>
              <w:rFonts w:hint="eastAsia" w:ascii="宋体" w:hAnsi="宋体" w:cs="宋体"/>
              <w:b/>
              <w:bCs/>
              <w:sz w:val="24"/>
              <w:szCs w:val="24"/>
            </w:rPr>
            <w:t>第十章 改善农村民生 强化基础设施和公共服务建设</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_Toc18997 </w:instrText>
          </w:r>
          <w:r>
            <w:rPr>
              <w:rFonts w:hint="eastAsia" w:ascii="宋体" w:hAnsi="宋体" w:cs="宋体"/>
              <w:b/>
              <w:sz w:val="24"/>
              <w:szCs w:val="24"/>
            </w:rPr>
            <w:fldChar w:fldCharType="separate"/>
          </w:r>
          <w:r>
            <w:rPr>
              <w:rFonts w:hint="eastAsia" w:ascii="宋体" w:hAnsi="宋体" w:cs="宋体"/>
              <w:b/>
              <w:sz w:val="24"/>
              <w:szCs w:val="24"/>
            </w:rPr>
            <w:t>- 66 -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"_Toc15878" </w:instrText>
          </w:r>
          <w:r>
            <w:fldChar w:fldCharType="separate"/>
          </w:r>
          <w:r>
            <w:rPr>
              <w:rFonts w:hint="eastAsia" w:ascii="宋体" w:hAnsi="宋体" w:cs="宋体"/>
              <w:bCs/>
              <w:sz w:val="24"/>
              <w:szCs w:val="24"/>
            </w:rPr>
            <w:t>一、加强农村基础设施建设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_Toc15878 </w:instrText>
          </w:r>
          <w:r>
            <w:rPr>
              <w:rFonts w:hint="eastAsia" w:ascii="宋体" w:hAnsi="宋体" w:cs="宋体"/>
              <w:sz w:val="24"/>
              <w:szCs w:val="24"/>
            </w:rPr>
            <w:fldChar w:fldCharType="separate"/>
          </w:r>
          <w:r>
            <w:rPr>
              <w:rFonts w:hint="eastAsia" w:ascii="宋体" w:hAnsi="宋体" w:cs="宋体"/>
              <w:sz w:val="24"/>
              <w:szCs w:val="24"/>
            </w:rPr>
            <w:t>- 66 -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"_Toc31915" </w:instrText>
          </w:r>
          <w:r>
            <w:fldChar w:fldCharType="separate"/>
          </w:r>
          <w:r>
            <w:rPr>
              <w:rFonts w:hint="eastAsia" w:ascii="宋体" w:hAnsi="宋体" w:cs="宋体"/>
              <w:bCs/>
              <w:sz w:val="24"/>
              <w:szCs w:val="24"/>
            </w:rPr>
            <w:t>二、增加农村公共服务供给</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_Toc31915 </w:instrText>
          </w:r>
          <w:r>
            <w:rPr>
              <w:rFonts w:hint="eastAsia" w:ascii="宋体" w:hAnsi="宋体" w:cs="宋体"/>
              <w:sz w:val="24"/>
              <w:szCs w:val="24"/>
            </w:rPr>
            <w:fldChar w:fldCharType="separate"/>
          </w:r>
          <w:r>
            <w:rPr>
              <w:rFonts w:hint="eastAsia" w:ascii="宋体" w:hAnsi="宋体" w:cs="宋体"/>
              <w:sz w:val="24"/>
              <w:szCs w:val="24"/>
            </w:rPr>
            <w:t>- 68 -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"_Toc9761" </w:instrText>
          </w:r>
          <w:r>
            <w:fldChar w:fldCharType="separate"/>
          </w:r>
          <w:r>
            <w:rPr>
              <w:rFonts w:hint="eastAsia" w:ascii="宋体" w:hAnsi="宋体" w:cs="宋体"/>
              <w:bCs/>
              <w:sz w:val="24"/>
              <w:szCs w:val="24"/>
            </w:rPr>
            <w:t>三、拓宽农民增收创收渠道</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_Toc9761 </w:instrText>
          </w:r>
          <w:r>
            <w:rPr>
              <w:rFonts w:hint="eastAsia" w:ascii="宋体" w:hAnsi="宋体" w:cs="宋体"/>
              <w:sz w:val="24"/>
              <w:szCs w:val="24"/>
            </w:rPr>
            <w:fldChar w:fldCharType="separate"/>
          </w:r>
          <w:r>
            <w:rPr>
              <w:rFonts w:hint="eastAsia" w:ascii="宋体" w:hAnsi="宋体" w:cs="宋体"/>
              <w:sz w:val="24"/>
              <w:szCs w:val="24"/>
            </w:rPr>
            <w:t>- 70 -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"_Toc7809" </w:instrText>
          </w:r>
          <w:r>
            <w:fldChar w:fldCharType="separate"/>
          </w:r>
          <w:r>
            <w:rPr>
              <w:rFonts w:hint="eastAsia" w:ascii="宋体" w:hAnsi="宋体" w:cs="宋体"/>
              <w:b/>
              <w:bCs/>
              <w:sz w:val="24"/>
              <w:szCs w:val="24"/>
            </w:rPr>
            <w:t>第十一章 加强要素保障 有序推进规划落实</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_Toc7809 </w:instrText>
          </w:r>
          <w:r>
            <w:rPr>
              <w:rFonts w:hint="eastAsia" w:ascii="宋体" w:hAnsi="宋体" w:cs="宋体"/>
              <w:b/>
              <w:sz w:val="24"/>
              <w:szCs w:val="24"/>
            </w:rPr>
            <w:fldChar w:fldCharType="separate"/>
          </w:r>
          <w:r>
            <w:rPr>
              <w:rFonts w:hint="eastAsia" w:ascii="宋体" w:hAnsi="宋体" w:cs="宋体"/>
              <w:b/>
              <w:sz w:val="24"/>
              <w:szCs w:val="24"/>
            </w:rPr>
            <w:t>- 73 -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"_Toc10314" </w:instrText>
          </w:r>
          <w:r>
            <w:fldChar w:fldCharType="separate"/>
          </w:r>
          <w:r>
            <w:rPr>
              <w:rFonts w:hint="eastAsia" w:ascii="宋体" w:hAnsi="宋体" w:cs="宋体"/>
              <w:bCs/>
              <w:sz w:val="24"/>
              <w:szCs w:val="24"/>
            </w:rPr>
            <w:t>一、强化组织领导</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_Toc10314 </w:instrText>
          </w:r>
          <w:r>
            <w:rPr>
              <w:rFonts w:hint="eastAsia" w:ascii="宋体" w:hAnsi="宋体" w:cs="宋体"/>
              <w:sz w:val="24"/>
              <w:szCs w:val="24"/>
            </w:rPr>
            <w:fldChar w:fldCharType="separate"/>
          </w:r>
          <w:r>
            <w:rPr>
              <w:rFonts w:hint="eastAsia" w:ascii="宋体" w:hAnsi="宋体" w:cs="宋体"/>
              <w:sz w:val="24"/>
              <w:szCs w:val="24"/>
            </w:rPr>
            <w:t>- 73 -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"_Toc32420" </w:instrText>
          </w:r>
          <w:r>
            <w:fldChar w:fldCharType="separate"/>
          </w:r>
          <w:r>
            <w:rPr>
              <w:rFonts w:hint="eastAsia" w:ascii="宋体" w:hAnsi="宋体" w:cs="宋体"/>
              <w:bCs/>
              <w:sz w:val="24"/>
              <w:szCs w:val="24"/>
            </w:rPr>
            <w:t>二、加强要素支撑</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_Toc32420 </w:instrText>
          </w:r>
          <w:r>
            <w:rPr>
              <w:rFonts w:hint="eastAsia" w:ascii="宋体" w:hAnsi="宋体" w:cs="宋体"/>
              <w:sz w:val="24"/>
              <w:szCs w:val="24"/>
            </w:rPr>
            <w:fldChar w:fldCharType="separate"/>
          </w:r>
          <w:r>
            <w:rPr>
              <w:rFonts w:hint="eastAsia" w:ascii="宋体" w:hAnsi="宋体" w:cs="宋体"/>
              <w:sz w:val="24"/>
              <w:szCs w:val="24"/>
            </w:rPr>
            <w:t>- 73 -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"_Toc31522" </w:instrText>
          </w:r>
          <w:r>
            <w:fldChar w:fldCharType="separate"/>
          </w:r>
          <w:r>
            <w:rPr>
              <w:rFonts w:hint="eastAsia" w:ascii="宋体" w:hAnsi="宋体" w:cs="宋体"/>
              <w:bCs/>
              <w:sz w:val="24"/>
              <w:szCs w:val="24"/>
            </w:rPr>
            <w:t>三、严格督导落实</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_Toc31522 </w:instrText>
          </w:r>
          <w:r>
            <w:rPr>
              <w:rFonts w:hint="eastAsia" w:ascii="宋体" w:hAnsi="宋体" w:cs="宋体"/>
              <w:sz w:val="24"/>
              <w:szCs w:val="24"/>
            </w:rPr>
            <w:fldChar w:fldCharType="separate"/>
          </w:r>
          <w:r>
            <w:rPr>
              <w:rFonts w:hint="eastAsia" w:ascii="宋体" w:hAnsi="宋体" w:cs="宋体"/>
              <w:sz w:val="24"/>
              <w:szCs w:val="24"/>
            </w:rPr>
            <w:t>- 75 -</w:t>
          </w:r>
          <w:r>
            <w:rPr>
              <w:rFonts w:hint="eastAsia" w:ascii="宋体" w:hAnsi="宋体" w:cs="宋体"/>
              <w:sz w:val="24"/>
              <w:szCs w:val="24"/>
            </w:rPr>
            <w:fldChar w:fldCharType="end"/>
          </w:r>
          <w:r>
            <w:rPr>
              <w:rFonts w:hint="eastAsia" w:ascii="宋体" w:hAnsi="宋体" w:cs="宋体"/>
              <w:sz w:val="24"/>
              <w:szCs w:val="24"/>
            </w:rPr>
            <w:fldChar w:fldCharType="end"/>
          </w:r>
        </w:p>
        <w:p>
          <w:pPr>
            <w:pStyle w:val="23"/>
            <w:tabs>
              <w:tab w:val="right" w:leader="dot" w:pos="8730"/>
            </w:tabs>
            <w:spacing w:line="400" w:lineRule="exact"/>
            <w:ind w:left="640"/>
            <w:rPr>
              <w:rFonts w:ascii="宋体" w:hAnsi="宋体" w:cs="宋体"/>
              <w:sz w:val="24"/>
              <w:szCs w:val="24"/>
            </w:rPr>
          </w:pPr>
          <w:r>
            <w:fldChar w:fldCharType="begin"/>
          </w:r>
          <w:r>
            <w:instrText xml:space="preserve"> HYPERLINK \l "_Toc14069" </w:instrText>
          </w:r>
          <w:r>
            <w:fldChar w:fldCharType="separate"/>
          </w:r>
          <w:r>
            <w:rPr>
              <w:rFonts w:hint="eastAsia" w:ascii="宋体" w:hAnsi="宋体" w:cs="宋体"/>
              <w:bCs/>
              <w:sz w:val="24"/>
              <w:szCs w:val="24"/>
            </w:rPr>
            <w:t>四、营造良好环境</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_Toc14069 </w:instrText>
          </w:r>
          <w:r>
            <w:rPr>
              <w:rFonts w:hint="eastAsia" w:ascii="宋体" w:hAnsi="宋体" w:cs="宋体"/>
              <w:sz w:val="24"/>
              <w:szCs w:val="24"/>
            </w:rPr>
            <w:fldChar w:fldCharType="separate"/>
          </w:r>
          <w:r>
            <w:rPr>
              <w:rFonts w:hint="eastAsia" w:ascii="宋体" w:hAnsi="宋体" w:cs="宋体"/>
              <w:sz w:val="24"/>
              <w:szCs w:val="24"/>
            </w:rPr>
            <w:t>- 76 -</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730"/>
            </w:tabs>
            <w:spacing w:line="400" w:lineRule="exact"/>
            <w:rPr>
              <w:rFonts w:ascii="宋体" w:hAnsi="宋体" w:cs="宋体"/>
              <w:b/>
              <w:sz w:val="24"/>
              <w:szCs w:val="24"/>
            </w:rPr>
          </w:pPr>
          <w:r>
            <w:fldChar w:fldCharType="begin"/>
          </w:r>
          <w:r>
            <w:instrText xml:space="preserve"> HYPERLINK \l "_Toc8130" </w:instrText>
          </w:r>
          <w:r>
            <w:fldChar w:fldCharType="separate"/>
          </w:r>
          <w:r>
            <w:rPr>
              <w:rFonts w:hint="eastAsia" w:ascii="宋体" w:hAnsi="宋体" w:cs="宋体"/>
              <w:b/>
              <w:sz w:val="24"/>
              <w:szCs w:val="24"/>
            </w:rPr>
            <w:t>附件：紫阳县乡村振兴重点项目计划表</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_Toc8130 </w:instrText>
          </w:r>
          <w:r>
            <w:rPr>
              <w:rFonts w:hint="eastAsia" w:ascii="宋体" w:hAnsi="宋体" w:cs="宋体"/>
              <w:b/>
              <w:sz w:val="24"/>
              <w:szCs w:val="24"/>
            </w:rPr>
            <w:fldChar w:fldCharType="separate"/>
          </w:r>
          <w:r>
            <w:rPr>
              <w:rFonts w:hint="eastAsia" w:ascii="宋体" w:hAnsi="宋体" w:cs="宋体"/>
              <w:b/>
              <w:sz w:val="24"/>
              <w:szCs w:val="24"/>
            </w:rPr>
            <w:t>- 77 -</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22"/>
            <w:tabs>
              <w:tab w:val="right" w:leader="dot" w:pos="8730"/>
            </w:tabs>
            <w:spacing w:line="400" w:lineRule="exact"/>
            <w:rPr>
              <w:rFonts w:ascii="宋体" w:hAnsi="宋体" w:cs="宋体"/>
              <w:b/>
              <w:sz w:val="24"/>
              <w:szCs w:val="24"/>
            </w:rPr>
          </w:pPr>
        </w:p>
        <w:p>
          <w:pPr>
            <w:spacing w:before="120" w:beforeLines="50" w:after="120" w:afterLines="50" w:line="400" w:lineRule="exact"/>
            <w:ind w:firstLine="0" w:firstLineChars="0"/>
            <w:rPr>
              <w:rFonts w:ascii="宋体" w:hAnsi="宋体" w:eastAsia="宋体"/>
              <w:b/>
              <w:sz w:val="30"/>
              <w:szCs w:val="30"/>
            </w:rPr>
          </w:pPr>
          <w:r>
            <w:rPr>
              <w:rFonts w:hint="eastAsia" w:ascii="宋体" w:hAnsi="宋体" w:eastAsia="宋体" w:cs="宋体"/>
              <w:b/>
              <w:sz w:val="24"/>
              <w:szCs w:val="24"/>
            </w:rPr>
            <w:fldChar w:fldCharType="end"/>
          </w:r>
        </w:p>
      </w:sdtContent>
    </w:sdt>
    <w:p>
      <w:pPr>
        <w:spacing w:before="120" w:beforeLines="50" w:after="120" w:afterLines="50" w:line="360" w:lineRule="auto"/>
        <w:ind w:firstLine="602"/>
        <w:rPr>
          <w:rFonts w:ascii="宋体" w:hAnsi="宋体" w:eastAsia="宋体"/>
          <w:b/>
          <w:sz w:val="30"/>
          <w:szCs w:val="30"/>
        </w:rPr>
        <w:sectPr>
          <w:headerReference r:id="rId9" w:type="first"/>
          <w:footerReference r:id="rId11" w:type="first"/>
          <w:footerReference r:id="rId10"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p>
    <w:bookmarkEnd w:id="0"/>
    <w:bookmarkEnd w:id="1"/>
    <w:bookmarkEnd w:id="2"/>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3" w:name="_Toc12549113"/>
      <w:bookmarkStart w:id="4" w:name="_Toc10545796"/>
      <w:bookmarkStart w:id="5" w:name="_Toc7946094"/>
      <w:bookmarkStart w:id="6" w:name="_Toc31519"/>
      <w:bookmarkStart w:id="7" w:name="_Toc22167"/>
      <w:bookmarkStart w:id="8" w:name="_Toc23582"/>
      <w:bookmarkStart w:id="9" w:name="_Toc13454"/>
      <w:r>
        <w:rPr>
          <w:rFonts w:hint="eastAsia" w:ascii="黑体" w:hAnsi="黑体" w:eastAsia="黑体"/>
          <w:b w:val="0"/>
          <w:bCs/>
          <w:szCs w:val="32"/>
        </w:rPr>
        <w:t xml:space="preserve">第一章 </w:t>
      </w:r>
      <w:bookmarkEnd w:id="3"/>
      <w:bookmarkEnd w:id="4"/>
      <w:bookmarkEnd w:id="5"/>
      <w:r>
        <w:rPr>
          <w:rFonts w:hint="eastAsia" w:ascii="黑体" w:hAnsi="黑体" w:eastAsia="黑体"/>
          <w:b w:val="0"/>
          <w:bCs/>
          <w:szCs w:val="32"/>
        </w:rPr>
        <w:t>审视发展态势 开启紫阳乡村振兴新征程</w:t>
      </w:r>
      <w:bookmarkEnd w:id="6"/>
      <w:bookmarkEnd w:id="7"/>
      <w:bookmarkEnd w:id="8"/>
      <w:bookmarkEnd w:id="9"/>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乡村振兴战略，是党的十九大作出的重大决策部署，是新时代做好“三农”工作的总抓手。为深入贯彻党的十九大精神，以及中、省、市、县关于实施乡村振兴战略的总体要求，实现巩固脱贫攻坚成果同乡村振兴有效衔接，特编制《紫阳县乡村振兴战略实施规划（2019-2023年）》。</w:t>
      </w:r>
    </w:p>
    <w:p>
      <w:pPr>
        <w:ind w:firstLine="640"/>
        <w:outlineLvl w:val="1"/>
        <w:rPr>
          <w:rFonts w:ascii="黑体" w:hAnsi="黑体" w:eastAsia="黑体"/>
          <w:b w:val="0"/>
          <w:bCs/>
        </w:rPr>
      </w:pPr>
      <w:bookmarkStart w:id="10" w:name="_Toc14294"/>
      <w:bookmarkStart w:id="11" w:name="_Toc19744"/>
      <w:bookmarkStart w:id="12" w:name="_Toc8881"/>
      <w:bookmarkStart w:id="13" w:name="_Toc19240"/>
      <w:bookmarkStart w:id="14" w:name="_Toc10545797"/>
      <w:bookmarkStart w:id="15" w:name="_Toc12549114"/>
      <w:bookmarkStart w:id="16" w:name="_Toc7946095"/>
      <w:r>
        <w:rPr>
          <w:rFonts w:hint="eastAsia" w:ascii="黑体" w:hAnsi="黑体" w:eastAsia="黑体"/>
          <w:b w:val="0"/>
          <w:bCs/>
        </w:rPr>
        <w:t>一、</w:t>
      </w:r>
      <w:r>
        <w:rPr>
          <w:rFonts w:ascii="黑体" w:hAnsi="黑体" w:eastAsia="黑体"/>
          <w:b w:val="0"/>
          <w:bCs/>
        </w:rPr>
        <w:t>振兴基础</w:t>
      </w:r>
      <w:bookmarkEnd w:id="10"/>
      <w:bookmarkEnd w:id="11"/>
      <w:bookmarkEnd w:id="12"/>
      <w:bookmarkEnd w:id="13"/>
      <w:bookmarkEnd w:id="14"/>
      <w:bookmarkEnd w:id="15"/>
      <w:bookmarkEnd w:id="16"/>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紫阳县位于陕西南端、汉江上游，大巴山北麓，全县总面积2204平方公里，辖17个镇，35万人。县城依山临江，距西安267.6公里；襄渝铁路、包茂高速、310省道穿境而过，“外通内畅”交通大格局基本形成，完全融入了西安、重庆、武汉“半日经济圈”。紫阳县生态优势突出，北有秦岭阻隔，南有巴山屏障，山清水秀，风光旖旎，是天然休闲度假胜地，同时作为全国两大高硒区之一，被誉为“中国硒谷”。紫阳民歌文化底蕴深厚，被文化部命名为“中国民间艺术之乡”。</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党的十八大以来，全县上下围绕追赶超越定位和“五个扎实”要求，以脱贫攻坚统揽经济社会发展全局，着力培育特色产业，持续深化农村改革，扎实推进美丽乡村建设，聚力保障和改善民生，农业农村发展迈入新阶段。</w:t>
      </w:r>
    </w:p>
    <w:p>
      <w:pPr>
        <w:ind w:firstLine="643"/>
        <w:rPr>
          <w:rFonts w:ascii="仿宋_GB2312" w:hAnsi="仿宋_GB2312" w:eastAsia="仿宋_GB2312" w:cs="仿宋_GB2312"/>
          <w:b w:val="0"/>
          <w:bCs/>
          <w:szCs w:val="24"/>
        </w:rPr>
      </w:pPr>
      <w:r>
        <w:rPr>
          <w:rFonts w:hint="eastAsia" w:ascii="楷体" w:hAnsi="楷体" w:eastAsia="楷体" w:cs="楷体"/>
          <w:b w:val="0"/>
          <w:bCs/>
          <w:szCs w:val="32"/>
        </w:rPr>
        <w:t>农业发展质量显著提高。</w:t>
      </w:r>
      <w:r>
        <w:rPr>
          <w:rFonts w:hint="eastAsia" w:ascii="仿宋_GB2312" w:hAnsi="仿宋_GB2312" w:eastAsia="仿宋_GB2312" w:cs="仿宋_GB2312"/>
          <w:b w:val="0"/>
          <w:bCs/>
          <w:szCs w:val="24"/>
        </w:rPr>
        <w:t>深化农业供给侧结构性改革，推动农业高质量发展，以富硒为特色的茶叶、魔芋、中药材、林果等农业主导产业不断发展壮大。“紫阳富硒茶”被农业农村部认定为国家农产品地理标志产品；魔芋产业“紫阳实践”在全国推广。院地科技合作不断深化，被中国农科院确定为全国乡村振兴科技支撑示范县，全市首家科技创新茶叶专家工作站在紫阳县成立。持续推进品牌建设，粮食安全保障和特色农产品供给水平不断提升，紫阳县农产品的美誉度和影响力不断扩大。深入实施电子商务进农村综合示范县创建工程，以电子商务为引领的农村新产业新业态新模式蓬勃发展。</w:t>
      </w:r>
    </w:p>
    <w:p>
      <w:pPr>
        <w:ind w:firstLine="643"/>
        <w:rPr>
          <w:rFonts w:ascii="仿宋_GB2312" w:hAnsi="仿宋_GB2312" w:eastAsia="仿宋_GB2312" w:cs="仿宋_GB2312"/>
          <w:b w:val="0"/>
          <w:bCs/>
          <w:szCs w:val="24"/>
        </w:rPr>
      </w:pPr>
      <w:r>
        <w:rPr>
          <w:rFonts w:hint="eastAsia" w:ascii="楷体" w:hAnsi="楷体" w:eastAsia="楷体" w:cs="楷体"/>
          <w:b w:val="0"/>
          <w:bCs/>
          <w:szCs w:val="32"/>
        </w:rPr>
        <w:t>农村基础设施全面改善。</w:t>
      </w:r>
      <w:r>
        <w:rPr>
          <w:rFonts w:hint="eastAsia" w:ascii="仿宋_GB2312" w:hAnsi="仿宋_GB2312" w:eastAsia="仿宋_GB2312" w:cs="仿宋_GB2312"/>
          <w:b w:val="0"/>
          <w:bCs/>
          <w:szCs w:val="24"/>
        </w:rPr>
        <w:t>加强农村饮水安全工程建设和农村集中式饮用水水源地保护，农村饮水安全问题得到全面解决。持续推进农网升级改造，电力供应能力显著提升，电力入户率达到100%。强化农村路网建设，实现100%的镇、建制村通硬化路，94.92%的建制村通客车，建制村通车率居全市前列。深入实施“广电扶贫•宽带乡村”工程，加快通信基站建设，基本实现城乡通信网络全覆盖。</w:t>
      </w:r>
    </w:p>
    <w:p>
      <w:pPr>
        <w:ind w:firstLine="643"/>
        <w:rPr>
          <w:rFonts w:ascii="仿宋_GB2312" w:hAnsi="仿宋_GB2312" w:eastAsia="仿宋_GB2312" w:cs="仿宋_GB2312"/>
          <w:b w:val="0"/>
          <w:bCs/>
          <w:szCs w:val="24"/>
        </w:rPr>
      </w:pPr>
      <w:bookmarkStart w:id="17" w:name="_Toc12549119"/>
      <w:bookmarkStart w:id="18" w:name="_Toc7946324"/>
      <w:bookmarkStart w:id="19" w:name="_Toc7946097"/>
      <w:bookmarkStart w:id="20" w:name="_Toc10545799"/>
      <w:bookmarkStart w:id="21" w:name="_Toc12549117"/>
      <w:bookmarkStart w:id="22" w:name="_Toc10545802"/>
      <w:bookmarkStart w:id="23" w:name="_Toc7946327"/>
      <w:bookmarkStart w:id="24" w:name="_Toc7946100"/>
      <w:r>
        <w:rPr>
          <w:rFonts w:hint="eastAsia" w:ascii="楷体" w:hAnsi="楷体" w:eastAsia="楷体" w:cs="楷体"/>
          <w:b w:val="0"/>
          <w:bCs/>
          <w:szCs w:val="32"/>
        </w:rPr>
        <w:t>基本公共服务不断加强。</w:t>
      </w:r>
      <w:bookmarkEnd w:id="17"/>
      <w:bookmarkEnd w:id="18"/>
      <w:bookmarkEnd w:id="19"/>
      <w:bookmarkEnd w:id="20"/>
      <w:r>
        <w:rPr>
          <w:rFonts w:hint="eastAsia" w:ascii="仿宋_GB2312" w:hAnsi="仿宋_GB2312" w:eastAsia="仿宋_GB2312" w:cs="仿宋_GB2312"/>
          <w:b w:val="0"/>
          <w:bCs/>
          <w:szCs w:val="24"/>
        </w:rPr>
        <w:t>坚持以人为本，加快推动公共服务向农村延伸、资源向农村倾斜。农村教育事业加快发展，顺利通过“国家义务教育发展基本均衡县”评估认定，高考人数保持13年连续增长，县职教中心荣获陕西省“十佳茶学机构”称号。农村医疗服务体系不断完善，农村居民基本实现“小病不出村”。社会保障体系日趋完善，新农合参保率达到99.97%，贫困人口家庭医生签约服务实现全覆盖，城乡低保、农村五保实现应保尽保。农村公共文化设施建设稳步推进，省级文化先进县创建通过验收，基层群众文化体育活动丰富多彩。</w:t>
      </w:r>
    </w:p>
    <w:p>
      <w:pPr>
        <w:ind w:firstLine="643"/>
        <w:rPr>
          <w:rFonts w:ascii="仿宋_GB2312" w:hAnsi="仿宋_GB2312" w:eastAsia="仿宋_GB2312" w:cs="仿宋_GB2312"/>
          <w:b w:val="0"/>
          <w:bCs/>
          <w:szCs w:val="24"/>
        </w:rPr>
      </w:pPr>
      <w:r>
        <w:rPr>
          <w:rFonts w:hint="eastAsia" w:ascii="楷体" w:hAnsi="楷体" w:eastAsia="楷体" w:cs="楷体"/>
          <w:b w:val="0"/>
          <w:bCs/>
          <w:szCs w:val="32"/>
        </w:rPr>
        <w:t>社会文明程度大幅提高</w:t>
      </w:r>
      <w:bookmarkEnd w:id="21"/>
      <w:bookmarkEnd w:id="22"/>
      <w:bookmarkEnd w:id="23"/>
      <w:bookmarkEnd w:id="24"/>
      <w:r>
        <w:rPr>
          <w:rFonts w:hint="eastAsia" w:ascii="楷体" w:hAnsi="楷体" w:eastAsia="楷体" w:cs="楷体"/>
          <w:b w:val="0"/>
          <w:bCs/>
          <w:szCs w:val="32"/>
        </w:rPr>
        <w:t>。</w:t>
      </w:r>
      <w:r>
        <w:rPr>
          <w:rFonts w:hint="eastAsia" w:ascii="仿宋_GB2312" w:hAnsi="仿宋_GB2312" w:eastAsia="仿宋_GB2312" w:cs="仿宋_GB2312"/>
          <w:b w:val="0"/>
          <w:bCs/>
          <w:szCs w:val="24"/>
        </w:rPr>
        <w:t>坚持破立结合、疏堵并举，深入推进“诚孝俭勤和”新民风建设，以村为单位建立健全“一约二榜三书四会”，组建了新民风建设“文艺演出团”和“乡贤能人宣讲报告团”，移风易俗深入人心。扎实开展新民风道德评议、移风易俗、文化传播、文明创建、诚信建设、依法治理六项活动，建立“道德评议红黑榜”，农村居民文明素质不断提升。深入开展法制“六进六促”活动，社会环境更加公平公正。</w:t>
      </w:r>
    </w:p>
    <w:p>
      <w:pPr>
        <w:overflowPunct w:val="0"/>
        <w:ind w:firstLine="643"/>
        <w:rPr>
          <w:rFonts w:ascii="宋体" w:hAnsi="宋体" w:eastAsia="宋体"/>
          <w:b w:val="0"/>
          <w:bCs/>
          <w:szCs w:val="24"/>
        </w:rPr>
      </w:pPr>
      <w:r>
        <w:rPr>
          <w:rFonts w:hint="eastAsia" w:ascii="楷体" w:hAnsi="楷体" w:eastAsia="楷体" w:cs="楷体"/>
          <w:b w:val="0"/>
          <w:bCs/>
          <w:szCs w:val="32"/>
        </w:rPr>
        <w:t>美丽乡村建设成效明显。</w:t>
      </w:r>
      <w:r>
        <w:rPr>
          <w:rFonts w:hint="eastAsia" w:ascii="仿宋_GB2312" w:hAnsi="仿宋_GB2312" w:eastAsia="仿宋_GB2312" w:cs="仿宋_GB2312"/>
          <w:b w:val="0"/>
          <w:bCs/>
          <w:szCs w:val="24"/>
        </w:rPr>
        <w:t>加快省级生态文明示范县建设，实施农村人居环境整治105个村，建成太阳能微动力污水处理站36个。扎实开展污染防治攻坚战和“青山、碧水、蓝天、净土”保卫战，全县森林覆盖率达到66.2%，空气优良率达95.6%，空气质量指数排名省市前列。全面启动国家全域旅游示范县创建，文笔山、任河漂流、擂鼓台、瓦房店会馆群、焕古硒茶小镇等景区提升创建取得明显成效。持续开展生态村镇创建，一批镇、村获得省级生态乡镇、生态村命名，城关镇青中村入选陕西省美丽宜居示范村，紫阳县上榜“2018中国田园美邑”，美丽紫阳展现出更加蓬勃的活力和生机。</w:t>
      </w:r>
    </w:p>
    <w:p>
      <w:pPr>
        <w:overflowPunct w:val="0"/>
        <w:ind w:firstLine="643"/>
        <w:rPr>
          <w:rFonts w:ascii="仿宋_GB2312" w:hAnsi="仿宋_GB2312" w:eastAsia="仿宋_GB2312" w:cs="仿宋_GB2312"/>
          <w:b w:val="0"/>
          <w:bCs/>
          <w:szCs w:val="24"/>
        </w:rPr>
      </w:pPr>
      <w:r>
        <w:rPr>
          <w:rFonts w:hint="eastAsia" w:ascii="楷体" w:hAnsi="楷体" w:eastAsia="楷体" w:cs="楷体"/>
          <w:b w:val="0"/>
          <w:bCs/>
          <w:szCs w:val="32"/>
        </w:rPr>
        <w:t>新型城镇化建设稳步推进。</w:t>
      </w:r>
      <w:r>
        <w:rPr>
          <w:rFonts w:hint="eastAsia" w:ascii="仿宋_GB2312" w:hAnsi="仿宋_GB2312" w:eastAsia="仿宋_GB2312" w:cs="仿宋_GB2312"/>
          <w:b w:val="0"/>
          <w:bCs/>
          <w:szCs w:val="24"/>
        </w:rPr>
        <w:t>坚持“城乡一体，全域紫阳”理念，以移民搬迁、棚户区改造为抓手，按照10万人进县城、10万人到集镇、10万人住新村的“三个十万人”进行布局，将蒿坪、向阳两镇纳入县城规划区，对县域其余各镇分类打造“农业产业型、工业加工型、商贸物流型、休闲旅游型”集镇，吸引搬迁群众向集镇聚集，形成以县城为中心、重点镇为支撑、中心村为依托的城乡一体化发展格局，2018年城镇化率达到42.8%。</w:t>
      </w:r>
    </w:p>
    <w:p>
      <w:pPr>
        <w:overflowPunct w:val="0"/>
        <w:ind w:firstLine="643"/>
        <w:rPr>
          <w:rFonts w:ascii="仿宋_GB2312" w:hAnsi="仿宋_GB2312" w:eastAsia="仿宋_GB2312" w:cs="仿宋_GB2312"/>
          <w:b w:val="0"/>
          <w:bCs/>
          <w:szCs w:val="24"/>
        </w:rPr>
      </w:pPr>
      <w:r>
        <w:rPr>
          <w:rFonts w:hint="eastAsia" w:ascii="楷体" w:hAnsi="楷体" w:eastAsia="楷体" w:cs="楷体"/>
          <w:b w:val="0"/>
          <w:bCs/>
          <w:szCs w:val="32"/>
        </w:rPr>
        <w:t>农民收入持续较快增长。</w:t>
      </w:r>
      <w:r>
        <w:rPr>
          <w:rFonts w:hint="eastAsia" w:ascii="仿宋_GB2312" w:hAnsi="仿宋_GB2312" w:eastAsia="仿宋_GB2312" w:cs="仿宋_GB2312"/>
          <w:b w:val="0"/>
          <w:bCs/>
          <w:szCs w:val="24"/>
        </w:rPr>
        <w:t>以脱贫攻坚为统揽，大力实施农民增收工程，农村居民收入稳步增长。积极推动“双创”，加快农村劳动力转移就业，以新社区工厂、扶贫车间为主要载体的劳动密集型产业加快发展，工资性收入大幅提高。“三农”投入和涉农补贴力度不断加大，农民得到更多实惠。农村改革全面推进，农村资产逐步盘活，内生动力有效激发，农民财产性收入快速增长。强化免费技能培训，紫阳技能扶贫模式获评全球减贫最佳案例、全国优秀扶贫案例。截止2018年，累计减少贫困人口7.18万人，贫困发生率下降到20.45%。</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同时，全县乡村发展还存在一些迫切需要解决的问题，人民日益增长的美好生活需要与不平衡、不充分发展之间的矛盾依然突出。主要表现在：农业基础设施薄弱，农产品生产基地散而不强，产业集约化、产品精细化程度偏低；农业产业化龙头企业带动能力不强、效果不明显，农产品精深加工水平不高、增长不快，农村一二三产业融合发展程度不深；农村贫困面广，致贫因素多，返贫风险大；农村基础设施和公共服务设施依然落后，“瓶颈”制约仍然突出；人民群众思想观念分化复杂，利益诉求多元，乡村治理能力有待提高。</w:t>
      </w:r>
    </w:p>
    <w:p>
      <w:pPr>
        <w:ind w:firstLine="640"/>
        <w:outlineLvl w:val="1"/>
        <w:rPr>
          <w:rFonts w:ascii="黑体" w:hAnsi="黑体" w:eastAsia="黑体"/>
          <w:b w:val="0"/>
          <w:bCs/>
        </w:rPr>
      </w:pPr>
      <w:bookmarkStart w:id="25" w:name="_Toc7946103"/>
      <w:bookmarkStart w:id="26" w:name="_Toc10545805"/>
      <w:bookmarkStart w:id="27" w:name="_Toc12549121"/>
      <w:bookmarkStart w:id="28" w:name="_Toc18471"/>
      <w:bookmarkStart w:id="29" w:name="_Toc16717"/>
      <w:bookmarkStart w:id="30" w:name="_Toc29400"/>
      <w:bookmarkStart w:id="31" w:name="_Toc20280"/>
      <w:r>
        <w:rPr>
          <w:rFonts w:hint="eastAsia" w:ascii="黑体" w:hAnsi="黑体" w:eastAsia="黑体"/>
          <w:b w:val="0"/>
          <w:bCs/>
        </w:rPr>
        <w:t>二、</w:t>
      </w:r>
      <w:bookmarkEnd w:id="25"/>
      <w:bookmarkEnd w:id="26"/>
      <w:bookmarkEnd w:id="27"/>
      <w:r>
        <w:rPr>
          <w:rFonts w:hint="eastAsia" w:ascii="黑体" w:hAnsi="黑体" w:eastAsia="黑体"/>
          <w:b w:val="0"/>
          <w:bCs/>
        </w:rPr>
        <w:t>有利条件</w:t>
      </w:r>
      <w:bookmarkEnd w:id="28"/>
      <w:bookmarkEnd w:id="29"/>
      <w:bookmarkEnd w:id="30"/>
      <w:bookmarkEnd w:id="31"/>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实施乡村振兴战略，紫阳县拥有多重有利条件，全县农业农村发展面临难得的机遇。</w:t>
      </w:r>
    </w:p>
    <w:p>
      <w:pPr>
        <w:overflowPunct w:val="0"/>
        <w:ind w:firstLine="643"/>
        <w:rPr>
          <w:rFonts w:ascii="仿宋_GB2312" w:hAnsi="仿宋_GB2312" w:eastAsia="仿宋_GB2312" w:cs="仿宋_GB2312"/>
          <w:b w:val="0"/>
          <w:bCs/>
          <w:szCs w:val="24"/>
        </w:rPr>
      </w:pPr>
      <w:r>
        <w:rPr>
          <w:rFonts w:hint="eastAsia" w:ascii="楷体" w:hAnsi="楷体" w:eastAsia="楷体" w:cs="楷体"/>
          <w:b w:val="0"/>
          <w:bCs/>
          <w:szCs w:val="32"/>
        </w:rPr>
        <w:t>政治制度保障健全有效。</w:t>
      </w:r>
      <w:r>
        <w:rPr>
          <w:rFonts w:hint="eastAsia" w:ascii="仿宋_GB2312" w:hAnsi="仿宋_GB2312" w:eastAsia="仿宋_GB2312" w:cs="仿宋_GB2312"/>
          <w:b w:val="0"/>
          <w:bCs/>
          <w:szCs w:val="24"/>
        </w:rPr>
        <w:t>实施乡村振兴战略是党的十九大做出的重大决策部署，并已写入党章，成为全党的共同意志。有习近平总书记把舵定向，有党中央、国务院的高度重视和科学决策，有省、市、县委和政府的坚强领导，乡村振兴具有根本政治保障。</w:t>
      </w:r>
    </w:p>
    <w:p>
      <w:pPr>
        <w:overflowPunct w:val="0"/>
        <w:ind w:firstLine="643"/>
        <w:rPr>
          <w:rFonts w:ascii="仿宋_GB2312" w:hAnsi="仿宋_GB2312" w:eastAsia="仿宋_GB2312" w:cs="仿宋_GB2312"/>
          <w:b w:val="0"/>
          <w:bCs/>
          <w:szCs w:val="32"/>
        </w:rPr>
      </w:pPr>
      <w:r>
        <w:rPr>
          <w:rFonts w:hint="eastAsia" w:ascii="楷体" w:hAnsi="楷体" w:eastAsia="楷体" w:cs="楷体"/>
          <w:b w:val="0"/>
          <w:bCs/>
          <w:szCs w:val="32"/>
        </w:rPr>
        <w:t>政策保障更加系统全面。</w:t>
      </w:r>
      <w:r>
        <w:rPr>
          <w:rFonts w:hint="eastAsia" w:ascii="仿宋_GB2312" w:hAnsi="仿宋_GB2312" w:eastAsia="仿宋_GB2312" w:cs="仿宋_GB2312"/>
          <w:b w:val="0"/>
          <w:bCs/>
          <w:szCs w:val="32"/>
        </w:rPr>
        <w:t>国家、省、市出台多项规划、政策措施，全力支持乡村振兴战略的实施，推进城乡融合发展体制机制不断健全，农村土地集体所有、双层经营体制不断完善，农村集体产权制度改革深入推进，乡村振兴拥有系统全面的政策保障。</w:t>
      </w:r>
    </w:p>
    <w:p>
      <w:pPr>
        <w:overflowPunct w:val="0"/>
        <w:ind w:firstLine="643"/>
        <w:rPr>
          <w:rFonts w:ascii="仿宋_GB2312" w:hAnsi="仿宋_GB2312" w:eastAsia="仿宋_GB2312" w:cs="仿宋_GB2312"/>
          <w:b w:val="0"/>
          <w:bCs/>
          <w:szCs w:val="32"/>
        </w:rPr>
      </w:pPr>
      <w:r>
        <w:rPr>
          <w:rFonts w:hint="eastAsia" w:ascii="楷体" w:hAnsi="楷体" w:eastAsia="楷体" w:cs="楷体"/>
          <w:b w:val="0"/>
          <w:bCs/>
          <w:szCs w:val="32"/>
        </w:rPr>
        <w:t>重大战略集成效应显著。</w:t>
      </w:r>
      <w:r>
        <w:rPr>
          <w:rFonts w:hint="eastAsia" w:ascii="仿宋_GB2312" w:hAnsi="仿宋_GB2312" w:eastAsia="仿宋_GB2312" w:cs="仿宋_GB2312"/>
          <w:b w:val="0"/>
          <w:bCs/>
          <w:szCs w:val="32"/>
        </w:rPr>
        <w:t>紫阳县作为西部大开发、关天经济区、成渝经济区和汉江生态经济带等多重国家战略汇合点，一系列强农惠农富农政策支持力度将不断加大，为城乡融合发展提供重要契机，紫阳发展能级与发展实力将会大幅提升，全县乡村振兴具有多重的战略使命。</w:t>
      </w:r>
    </w:p>
    <w:p>
      <w:pPr>
        <w:overflowPunct w:val="0"/>
        <w:ind w:firstLine="643"/>
        <w:rPr>
          <w:rFonts w:ascii="仿宋_GB2312" w:hAnsi="仿宋_GB2312" w:eastAsia="仿宋_GB2312" w:cs="仿宋_GB2312"/>
          <w:b w:val="0"/>
          <w:bCs/>
          <w:szCs w:val="32"/>
        </w:rPr>
      </w:pPr>
      <w:r>
        <w:rPr>
          <w:rFonts w:hint="eastAsia" w:ascii="楷体" w:hAnsi="楷体" w:eastAsia="楷体" w:cs="楷体"/>
          <w:b w:val="0"/>
          <w:bCs/>
          <w:szCs w:val="32"/>
        </w:rPr>
        <w:t>经济保障能力不断增强。</w:t>
      </w:r>
      <w:r>
        <w:rPr>
          <w:rFonts w:hint="eastAsia" w:ascii="仿宋_GB2312" w:hAnsi="仿宋_GB2312" w:eastAsia="仿宋_GB2312" w:cs="仿宋_GB2312"/>
          <w:b w:val="0"/>
          <w:bCs/>
          <w:szCs w:val="32"/>
        </w:rPr>
        <w:t>国家经济实力和综合国力日益增强；安康市围绕加快建设西北生态经济强市，实现了经济总量过千亿的历史性跨越；紫阳县扎实推动经济转型升级和高质量发展，经济总量已突破百亿大关，全县乡村振兴具有持续增强的经济保障。</w:t>
      </w:r>
    </w:p>
    <w:p>
      <w:pPr>
        <w:overflowPunct w:val="0"/>
        <w:ind w:firstLine="643"/>
        <w:rPr>
          <w:rFonts w:hint="eastAsia" w:ascii="仿宋_GB2312" w:hAnsi="仿宋_GB2312" w:eastAsia="仿宋_GB2312" w:cs="仿宋_GB2312"/>
          <w:b w:val="0"/>
          <w:bCs/>
          <w:szCs w:val="32"/>
        </w:rPr>
        <w:sectPr>
          <w:headerReference r:id="rId12" w:type="first"/>
          <w:footerReference r:id="rId13"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start="1"/>
          <w:cols w:space="425" w:num="1"/>
          <w:docGrid w:linePitch="312" w:charSpace="0"/>
        </w:sectPr>
      </w:pPr>
      <w:r>
        <w:rPr>
          <w:rFonts w:hint="eastAsia" w:ascii="仿宋_GB2312" w:hAnsi="仿宋_GB2312" w:eastAsia="仿宋_GB2312" w:cs="仿宋_GB2312"/>
          <w:b/>
          <w:bCs w:val="0"/>
          <w:szCs w:val="32"/>
        </w:rPr>
        <w:t>乡村治理工作动力强劲。</w:t>
      </w:r>
      <w:r>
        <w:rPr>
          <w:rFonts w:hint="eastAsia" w:ascii="仿宋_GB2312" w:hAnsi="仿宋_GB2312" w:eastAsia="仿宋_GB2312" w:cs="仿宋_GB2312"/>
          <w:b w:val="0"/>
          <w:bCs/>
          <w:szCs w:val="32"/>
        </w:rPr>
        <w:t>经过多年探索，全县建立的联系服务群众“五个一”工作法、行政审批服务模式、矛盾纠纷“三调联动”工作机制等创新举措，有效打通了联系服务群众“最后一公里”。各级干部常年扎根农业农村一线，深耕“三农”建设事业，在乡村治理实践中积累了丰富的经验和方法。全县“五位一体”农民工“心党建”工作法，为乡村振兴注入了强大动力。</w:t>
      </w:r>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32" w:name="_Toc22336"/>
      <w:bookmarkStart w:id="33" w:name="_Toc9396"/>
      <w:bookmarkStart w:id="34" w:name="_Toc284"/>
      <w:bookmarkStart w:id="35" w:name="_Toc14433"/>
      <w:r>
        <w:rPr>
          <w:rFonts w:hint="eastAsia" w:ascii="黑体" w:hAnsi="黑体" w:eastAsia="黑体"/>
          <w:b w:val="0"/>
          <w:bCs/>
          <w:szCs w:val="32"/>
        </w:rPr>
        <w:t>第二章 创新发展模式 打造全国乡村振兴示范县</w:t>
      </w:r>
      <w:bookmarkEnd w:id="32"/>
      <w:bookmarkEnd w:id="33"/>
      <w:bookmarkEnd w:id="34"/>
      <w:bookmarkEnd w:id="35"/>
    </w:p>
    <w:p>
      <w:pPr>
        <w:spacing w:line="540" w:lineRule="exact"/>
        <w:ind w:firstLine="640"/>
        <w:outlineLvl w:val="1"/>
        <w:rPr>
          <w:rFonts w:ascii="黑体" w:hAnsi="黑体" w:eastAsia="黑体"/>
          <w:b w:val="0"/>
          <w:bCs/>
        </w:rPr>
      </w:pPr>
      <w:bookmarkStart w:id="36" w:name="_Toc12549125"/>
      <w:bookmarkStart w:id="37" w:name="_Toc7946105"/>
      <w:bookmarkStart w:id="38" w:name="_Toc5295"/>
      <w:bookmarkStart w:id="39" w:name="_Toc10545809"/>
      <w:bookmarkStart w:id="40" w:name="_Toc4767"/>
      <w:bookmarkStart w:id="41" w:name="_Toc26459"/>
      <w:bookmarkStart w:id="42" w:name="_Toc22240"/>
      <w:r>
        <w:rPr>
          <w:rFonts w:hint="eastAsia" w:ascii="黑体" w:hAnsi="黑体" w:eastAsia="黑体"/>
          <w:b w:val="0"/>
          <w:bCs/>
        </w:rPr>
        <w:t>一、指导思想</w:t>
      </w:r>
      <w:bookmarkEnd w:id="36"/>
      <w:bookmarkEnd w:id="37"/>
      <w:bookmarkEnd w:id="38"/>
      <w:bookmarkEnd w:id="39"/>
      <w:bookmarkEnd w:id="40"/>
      <w:bookmarkEnd w:id="41"/>
      <w:bookmarkEnd w:id="42"/>
    </w:p>
    <w:p>
      <w:pPr>
        <w:spacing w:line="540" w:lineRule="exact"/>
        <w:ind w:firstLine="640"/>
        <w:rPr>
          <w:rFonts w:hint="eastAsia" w:ascii="仿宋_GB2312" w:hAnsi="仿宋_GB2312" w:eastAsia="仿宋_GB2312" w:cs="仿宋_GB2312"/>
          <w:b w:val="0"/>
          <w:bCs/>
          <w:szCs w:val="24"/>
          <w:lang w:eastAsia="zh-CN"/>
        </w:rPr>
      </w:pPr>
      <w:r>
        <w:rPr>
          <w:rFonts w:hint="eastAsia" w:ascii="仿宋_GB2312" w:hAnsi="仿宋_GB2312" w:eastAsia="仿宋_GB2312" w:cs="仿宋_GB2312"/>
          <w:b w:val="0"/>
          <w:bCs/>
          <w:szCs w:val="24"/>
        </w:rPr>
        <w:t>以习近平新时代中国特色社会主义思想为指导，全面贯彻落实党的十九大精神，加强党对“三农”工作的领导，牢固树立新发展理念，践行“五个扎实”要求，落实“五新战略”任务，优先发展农业农村，按照“产业兴旺、生态宜居、乡风文明、治理有效、生活富裕”的总要求，以实现高质量发展为主线，以增加农民收入为核心，以推进农村环境综合整治为着力点，以深化农村综合改革为根本动力，把打赢精准脱贫攻坚战作为底线任务，建立健全脱贫攻坚与乡村振兴有效衔接的体制机制和政策体系，</w:t>
      </w:r>
      <w:r>
        <w:rPr>
          <w:rFonts w:hint="eastAsia" w:ascii="仿宋_GB2312" w:hAnsi="仿宋_GB2312" w:eastAsia="仿宋_GB2312" w:cs="仿宋_GB2312"/>
          <w:b w:val="0"/>
          <w:bCs/>
          <w:szCs w:val="24"/>
          <w:lang w:eastAsia="zh-CN"/>
        </w:rPr>
        <w:t>实现巩固拓展脱贫攻坚成果同乡村振兴有效衔接，全力推动乡村产业、人才、文化、生态和组织振兴，促进农业高质高效、乡村宜居宜业、农民富裕富足，为建设优美富裕幸福紫阳奠定坚实基础。</w:t>
      </w:r>
    </w:p>
    <w:p>
      <w:pPr>
        <w:spacing w:line="540" w:lineRule="exact"/>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推动全县乡村振兴，必须坚持以下原则：</w:t>
      </w:r>
    </w:p>
    <w:p>
      <w:pPr>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32"/>
        </w:rPr>
        <w:t>——坚持党管农村、改革创新。</w:t>
      </w:r>
      <w:r>
        <w:rPr>
          <w:rFonts w:hint="eastAsia" w:ascii="仿宋_GB2312" w:hAnsi="仿宋_GB2312" w:eastAsia="仿宋_GB2312" w:cs="仿宋_GB2312"/>
          <w:b w:val="0"/>
          <w:bCs/>
          <w:szCs w:val="24"/>
        </w:rPr>
        <w:t>毫不动摇地坚持和加强党对农村工作的领导，健全党管农村工作领导体制机制，确保党在农村工作中始终总揽全局、协调各方。持续深化农业农村改革，创造良好条件和环境，提升农村资源配置效率，调动社会力量投身乡村振兴。</w:t>
      </w:r>
    </w:p>
    <w:p>
      <w:pPr>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32"/>
        </w:rPr>
        <w:t>——坚持三农优先、农民主体。</w:t>
      </w:r>
      <w:r>
        <w:rPr>
          <w:rFonts w:hint="eastAsia" w:ascii="仿宋_GB2312" w:hAnsi="仿宋_GB2312" w:eastAsia="仿宋_GB2312" w:cs="仿宋_GB2312"/>
          <w:b w:val="0"/>
          <w:bCs/>
          <w:szCs w:val="24"/>
        </w:rPr>
        <w:t>始终把“三农”问题作为全县工作的重中之重，在干部配备上优先考虑、要素配置上优先满足、资金投入上优先保障、公共服务上优先安排。切实发挥农民在乡村振兴中的主体作用，充分尊重农民意愿，调动农民的积极性、主动性、创造性。</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32"/>
        </w:rPr>
        <w:t>——坚持产业融合、增值增收。</w:t>
      </w:r>
      <w:r>
        <w:rPr>
          <w:rFonts w:hint="eastAsia" w:ascii="仿宋_GB2312" w:hAnsi="仿宋_GB2312" w:eastAsia="仿宋_GB2312" w:cs="仿宋_GB2312"/>
          <w:b w:val="0"/>
          <w:bCs/>
          <w:szCs w:val="24"/>
        </w:rPr>
        <w:t>按照农业高质量发展要求，坚持质量兴农、绿色兴农、品牌强农，加快发展农产品精深加工、乡村旅游、休闲康养、电子商务等新产业新业态，推动三产融合，延长产业链、提升价值链。坚持将乡村产业产生的效益和就业留在农村，让农业就地增值、农民就近增收。</w:t>
      </w:r>
    </w:p>
    <w:p>
      <w:pPr>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32"/>
        </w:rPr>
        <w:t>——坚持城乡融合、生态和谐。</w:t>
      </w:r>
      <w:r>
        <w:rPr>
          <w:rFonts w:hint="eastAsia" w:ascii="仿宋_GB2312" w:hAnsi="仿宋_GB2312" w:eastAsia="仿宋_GB2312" w:cs="仿宋_GB2312"/>
          <w:b w:val="0"/>
          <w:bCs/>
          <w:szCs w:val="24"/>
        </w:rPr>
        <w:t>充分发挥新型城镇化对乡村振兴的辐射带动作用，推动城乡要素自由流动、平等交换，加快形成工农互促、城乡互补、全面融合、共同繁荣的新型工农城乡关系。牢固树立和践行“绿水青山就是金山银山”理念，落实节约优先、保护优先、自然恢复为主的方针，统筹山水林田湖草系统治理，严守生态保护红线，促进生产生活生态相互协调。</w:t>
      </w:r>
    </w:p>
    <w:p>
      <w:pPr>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32"/>
        </w:rPr>
        <w:t>——坚持示范引领、梯度推进。</w:t>
      </w:r>
      <w:r>
        <w:rPr>
          <w:rFonts w:hint="eastAsia" w:ascii="仿宋_GB2312" w:hAnsi="仿宋_GB2312" w:eastAsia="仿宋_GB2312" w:cs="仿宋_GB2312"/>
          <w:b w:val="0"/>
          <w:bCs/>
          <w:szCs w:val="24"/>
        </w:rPr>
        <w:t>以青中、黄金、权河等10个美丽乡村示范村和汉江生态经济带沿线村庄为重点，梯度推进村庄建设。科学把握乡村的多样性、差异性特征，注重规划先行、突出重点、分类施策、典型引路，合理设定阶段性目标任务，久久为功，扎实推进。</w:t>
      </w:r>
    </w:p>
    <w:p>
      <w:pPr>
        <w:spacing w:line="540" w:lineRule="exact"/>
        <w:ind w:firstLine="640"/>
        <w:outlineLvl w:val="1"/>
        <w:rPr>
          <w:rFonts w:ascii="黑体" w:hAnsi="黑体" w:eastAsia="黑体"/>
          <w:b w:val="0"/>
          <w:bCs/>
        </w:rPr>
      </w:pPr>
      <w:bookmarkStart w:id="43" w:name="_Toc918"/>
      <w:bookmarkStart w:id="44" w:name="_Toc12549126"/>
      <w:bookmarkStart w:id="45" w:name="_Toc10545810"/>
      <w:bookmarkStart w:id="46" w:name="_Toc23454"/>
      <w:bookmarkStart w:id="47" w:name="_Toc14074"/>
      <w:bookmarkStart w:id="48" w:name="_Toc5998"/>
      <w:r>
        <w:rPr>
          <w:rFonts w:hint="eastAsia" w:ascii="黑体" w:hAnsi="黑体" w:eastAsia="黑体"/>
          <w:b w:val="0"/>
          <w:bCs/>
        </w:rPr>
        <w:t>二、战略定位</w:t>
      </w:r>
      <w:bookmarkEnd w:id="43"/>
      <w:bookmarkEnd w:id="44"/>
      <w:bookmarkEnd w:id="45"/>
      <w:bookmarkEnd w:id="46"/>
      <w:bookmarkEnd w:id="47"/>
      <w:bookmarkEnd w:id="48"/>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楷体"/>
          <w:b w:val="0"/>
          <w:bCs/>
          <w:szCs w:val="24"/>
        </w:rPr>
        <w:t>——国家乡村振兴科技支撑示范县。</w:t>
      </w:r>
      <w:r>
        <w:rPr>
          <w:rFonts w:hint="eastAsia" w:ascii="仿宋_GB2312" w:hAnsi="仿宋_GB2312" w:eastAsia="仿宋_GB2312" w:cs="仿宋_GB2312"/>
          <w:b w:val="0"/>
          <w:bCs/>
          <w:szCs w:val="24"/>
        </w:rPr>
        <w:t>深化与各类科研院所协同创新合作，搭建农业科技开发、科技成果转化、创新示范基地、创业孵化平台，以科技创新推动乡村产业振兴，以产业振兴引领乡村振兴，将紫阳县建成全省乡村振兴示范标杆、全国乡村振兴科技支撑典范。</w:t>
      </w:r>
    </w:p>
    <w:p>
      <w:pPr>
        <w:overflowPunct w:val="0"/>
        <w:spacing w:line="540" w:lineRule="exact"/>
        <w:ind w:firstLine="643"/>
        <w:rPr>
          <w:rFonts w:ascii="仿宋_GB2312" w:hAnsi="仿宋_GB2312" w:eastAsia="仿宋_GB2312" w:cs="仿宋_GB2312"/>
          <w:b w:val="0"/>
          <w:bCs/>
          <w:szCs w:val="24"/>
        </w:rPr>
      </w:pPr>
      <w:bookmarkStart w:id="49" w:name="_Toc28729"/>
      <w:bookmarkStart w:id="50" w:name="_Toc12549127"/>
      <w:bookmarkStart w:id="51" w:name="_Toc7847"/>
      <w:bookmarkStart w:id="52" w:name="_Toc7946107"/>
      <w:bookmarkStart w:id="53" w:name="_Toc10545811"/>
      <w:r>
        <w:rPr>
          <w:rFonts w:hint="eastAsia" w:ascii="楷体" w:hAnsi="楷体" w:eastAsia="楷体" w:cs="楷体"/>
          <w:b w:val="0"/>
          <w:bCs/>
          <w:szCs w:val="24"/>
        </w:rPr>
        <w:t>——国家农业绿色发展先行区。</w:t>
      </w:r>
      <w:r>
        <w:rPr>
          <w:rFonts w:hint="eastAsia" w:ascii="仿宋_GB2312" w:hAnsi="仿宋_GB2312" w:eastAsia="仿宋_GB2312" w:cs="仿宋_GB2312"/>
          <w:b w:val="0"/>
          <w:bCs/>
          <w:szCs w:val="24"/>
        </w:rPr>
        <w:t>加强农业资源保护，实施化肥农药减量增效、农业废弃物资源化利用等工程，建立健全绿色生产标准规范，推广数字化、信息化管理技术应用，建设国家农业绿色发展先行区。</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b w:val="0"/>
          <w:bCs/>
          <w:szCs w:val="24"/>
        </w:rPr>
        <w:t>——全国休闲农业与乡村旅游示范县。</w:t>
      </w:r>
      <w:r>
        <w:rPr>
          <w:rFonts w:hint="eastAsia" w:ascii="仿宋_GB2312" w:hAnsi="仿宋_GB2312" w:eastAsia="仿宋_GB2312" w:cs="仿宋_GB2312"/>
          <w:b w:val="0"/>
          <w:bCs/>
          <w:szCs w:val="24"/>
        </w:rPr>
        <w:t>依托“茶歌紫阳”文化品牌影响力和良好生态自然环境，不断拓展农业功能，做精紫阳特色农产品，实施以“新农品、新文创、新民宿”为主题的新乡村行动计划，促进农旅融合发展，不断满足人民日益增长的物质生活需要。</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b w:val="0"/>
          <w:bCs/>
          <w:szCs w:val="24"/>
        </w:rPr>
        <w:t>——全国农村创新创业典型县。</w:t>
      </w:r>
      <w:r>
        <w:rPr>
          <w:rFonts w:hint="eastAsia" w:ascii="仿宋_GB2312" w:hAnsi="仿宋_GB2312" w:eastAsia="仿宋_GB2312" w:cs="仿宋_GB2312"/>
          <w:b w:val="0"/>
          <w:bCs/>
          <w:szCs w:val="24"/>
        </w:rPr>
        <w:t>围绕“1+5+X”特色产业体系，整合紫阳县优势资源，加大返乡入乡创新创业政策扶持力度，积极引导工商资本集聚，构建“农业+6（旅游业、工业、农产品流通、文化创意、电商及其他）”融合发展体系，进一步拓宽农民增收渠道。</w:t>
      </w:r>
    </w:p>
    <w:p>
      <w:pPr>
        <w:spacing w:line="540" w:lineRule="exact"/>
        <w:ind w:firstLine="640"/>
        <w:outlineLvl w:val="1"/>
        <w:rPr>
          <w:rFonts w:ascii="黑体" w:hAnsi="黑体" w:eastAsia="黑体"/>
          <w:b w:val="0"/>
          <w:bCs/>
        </w:rPr>
      </w:pPr>
      <w:bookmarkStart w:id="54" w:name="_Toc2952"/>
      <w:bookmarkStart w:id="55" w:name="_Toc19427"/>
      <w:r>
        <w:rPr>
          <w:rFonts w:hint="eastAsia" w:ascii="黑体" w:hAnsi="黑体" w:eastAsia="黑体"/>
          <w:b w:val="0"/>
          <w:bCs/>
        </w:rPr>
        <w:t>三、发展目标</w:t>
      </w:r>
      <w:bookmarkEnd w:id="49"/>
      <w:bookmarkEnd w:id="50"/>
      <w:bookmarkEnd w:id="51"/>
      <w:bookmarkEnd w:id="52"/>
      <w:bookmarkEnd w:id="53"/>
      <w:bookmarkEnd w:id="54"/>
      <w:bookmarkEnd w:id="55"/>
    </w:p>
    <w:p>
      <w:pPr>
        <w:overflowPunct w:val="0"/>
        <w:spacing w:line="540" w:lineRule="exact"/>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到</w:t>
      </w:r>
      <w:r>
        <w:rPr>
          <w:rFonts w:ascii="仿宋_GB2312" w:hAnsi="仿宋_GB2312" w:eastAsia="仿宋_GB2312" w:cs="仿宋_GB2312"/>
          <w:b w:val="0"/>
          <w:bCs/>
          <w:szCs w:val="24"/>
        </w:rPr>
        <w:t>2020</w:t>
      </w:r>
      <w:r>
        <w:rPr>
          <w:rFonts w:hint="eastAsia" w:ascii="仿宋_GB2312" w:hAnsi="仿宋_GB2312" w:eastAsia="仿宋_GB2312" w:cs="仿宋_GB2312"/>
          <w:b w:val="0"/>
          <w:bCs/>
          <w:szCs w:val="24"/>
        </w:rPr>
        <w:t>年，全县乡村振兴的制度框架和政策体系初步形成，全面巩固提升脱贫成效，确保如期与全国全省全市同步够格迈入全面小康社会。到</w:t>
      </w:r>
      <w:r>
        <w:rPr>
          <w:rFonts w:ascii="仿宋_GB2312" w:hAnsi="仿宋_GB2312" w:eastAsia="仿宋_GB2312" w:cs="仿宋_GB2312"/>
          <w:b w:val="0"/>
          <w:bCs/>
          <w:szCs w:val="24"/>
        </w:rPr>
        <w:t>202</w:t>
      </w:r>
      <w:r>
        <w:rPr>
          <w:rFonts w:hint="eastAsia" w:ascii="仿宋_GB2312" w:hAnsi="仿宋_GB2312" w:eastAsia="仿宋_GB2312" w:cs="仿宋_GB2312"/>
          <w:b w:val="0"/>
          <w:bCs/>
          <w:szCs w:val="24"/>
        </w:rPr>
        <w:t>3年，乡村振兴的制度框架和政策体系趋于成熟。现代特色农业体系基本构建，农村产业融合发展格局基本形成，农村居民收入达到省市平均水平，脱贫攻坚成果得到巩固拓展，基本实现文明进步、治理有效、生活富裕，乡村振兴取得显著成果。</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Times New Roman"/>
          <w:b w:val="0"/>
          <w:bCs/>
          <w:szCs w:val="32"/>
        </w:rPr>
        <w:t>——现代农业体系初步建立。</w:t>
      </w:r>
      <w:r>
        <w:rPr>
          <w:rFonts w:hint="eastAsia" w:ascii="仿宋_GB2312" w:hAnsi="仿宋_GB2312" w:eastAsia="仿宋_GB2312" w:cs="仿宋_GB2312"/>
          <w:b w:val="0"/>
          <w:bCs/>
          <w:szCs w:val="24"/>
        </w:rPr>
        <w:t>农业综合生产能力进一步增强，“1+5+X”现代富硒农业体系初步建立。农村一二三产融合发展格局基本形成，农产品加工业产值与农业总产值比值达4以上，农产品加工转化率达到65%以上。</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Times New Roman"/>
          <w:b w:val="0"/>
          <w:bCs/>
          <w:szCs w:val="32"/>
        </w:rPr>
        <w:t>——乡村宜居生态彰显新貌。</w:t>
      </w:r>
      <w:r>
        <w:rPr>
          <w:rFonts w:hint="eastAsia" w:ascii="仿宋_GB2312" w:hAnsi="仿宋_GB2312" w:eastAsia="仿宋_GB2312" w:cs="仿宋_GB2312"/>
          <w:b w:val="0"/>
          <w:bCs/>
          <w:szCs w:val="24"/>
        </w:rPr>
        <w:t>农村人居环境大幅改善，森林覆盖率达到6</w:t>
      </w:r>
      <w:r>
        <w:rPr>
          <w:rFonts w:ascii="仿宋_GB2312" w:hAnsi="仿宋_GB2312" w:eastAsia="仿宋_GB2312" w:cs="仿宋_GB2312"/>
          <w:b w:val="0"/>
          <w:bCs/>
          <w:szCs w:val="24"/>
        </w:rPr>
        <w:t>7.5</w:t>
      </w:r>
      <w:r>
        <w:rPr>
          <w:rFonts w:hint="eastAsia" w:ascii="仿宋_GB2312" w:hAnsi="仿宋_GB2312" w:eastAsia="仿宋_GB2312" w:cs="仿宋_GB2312"/>
          <w:b w:val="0"/>
          <w:bCs/>
          <w:szCs w:val="24"/>
        </w:rPr>
        <w:t>%，农村无害化卫生厕所普及率达到85%，对生活垃圾进行处理的村占比达到100%，畜禽粪污综合利用率达到80%。</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Times New Roman"/>
          <w:b w:val="0"/>
          <w:bCs/>
          <w:szCs w:val="32"/>
        </w:rPr>
        <w:t>——乡风文明焕发新的气象。</w:t>
      </w:r>
      <w:r>
        <w:rPr>
          <w:rFonts w:hint="eastAsia" w:ascii="仿宋_GB2312" w:hAnsi="仿宋_GB2312" w:eastAsia="仿宋_GB2312" w:cs="仿宋_GB2312"/>
          <w:b w:val="0"/>
          <w:bCs/>
          <w:szCs w:val="24"/>
        </w:rPr>
        <w:t>乡风文明建设成效显著，社会主义核心价值观得到广泛弘扬，以汉水文化、茶歌文化、道教文化为代表的优秀文化得以继承和发展，文明乡风、良好家风、淳朴民风初步形成，县级及以上文明村和文明镇占比分别达到50%、90%。</w:t>
      </w:r>
    </w:p>
    <w:p>
      <w:pPr>
        <w:overflowPunct w:val="0"/>
        <w:spacing w:line="540" w:lineRule="exact"/>
        <w:ind w:firstLine="643"/>
        <w:rPr>
          <w:rFonts w:ascii="仿宋_GB2312" w:hAnsi="仿宋_GB2312" w:eastAsia="仿宋_GB2312" w:cs="仿宋_GB2312"/>
          <w:b w:val="0"/>
          <w:bCs/>
          <w:szCs w:val="24"/>
        </w:rPr>
      </w:pPr>
      <w:r>
        <w:rPr>
          <w:rFonts w:hint="eastAsia" w:ascii="楷体" w:hAnsi="楷体" w:eastAsia="楷体" w:cs="Times New Roman"/>
          <w:b w:val="0"/>
          <w:bCs/>
          <w:szCs w:val="32"/>
        </w:rPr>
        <w:t>——乡村治理更加规范有效。</w:t>
      </w:r>
      <w:r>
        <w:rPr>
          <w:rFonts w:hint="eastAsia" w:ascii="仿宋_GB2312" w:hAnsi="仿宋_GB2312" w:eastAsia="仿宋_GB2312" w:cs="仿宋_GB2312"/>
          <w:b w:val="0"/>
          <w:bCs/>
          <w:szCs w:val="24"/>
        </w:rPr>
        <w:t>农村基层党组织凝聚力显著增强，基层服务能力逐步提升，村规民约有效落实，集体经济强村占比达到</w:t>
      </w:r>
      <w:r>
        <w:rPr>
          <w:rFonts w:ascii="仿宋_GB2312" w:hAnsi="仿宋_GB2312" w:eastAsia="仿宋_GB2312" w:cs="仿宋_GB2312"/>
          <w:b w:val="0"/>
          <w:bCs/>
          <w:szCs w:val="24"/>
        </w:rPr>
        <w:t>20</w:t>
      </w:r>
      <w:r>
        <w:rPr>
          <w:rFonts w:hint="eastAsia" w:ascii="仿宋_GB2312" w:hAnsi="仿宋_GB2312" w:eastAsia="仿宋_GB2312" w:cs="仿宋_GB2312"/>
          <w:b w:val="0"/>
          <w:bCs/>
          <w:szCs w:val="24"/>
        </w:rPr>
        <w:t>%以上。以自治为基、法治为本、德治为先的三治融合治理体系初步确立，现代乡村治理体系初步构建，村庄规划管理覆盖率达到90%，村规民约实现全覆盖。</w:t>
      </w:r>
    </w:p>
    <w:p>
      <w:pPr>
        <w:overflowPunct w:val="0"/>
        <w:spacing w:line="540" w:lineRule="exact"/>
        <w:ind w:firstLine="643"/>
        <w:rPr>
          <w:rFonts w:ascii="仿宋_GB2312" w:hAnsi="仿宋_GB2312" w:eastAsia="仿宋_GB2312" w:cs="仿宋_GB2312"/>
          <w:b w:val="0"/>
          <w:bCs/>
          <w:szCs w:val="24"/>
        </w:rPr>
        <w:sectPr>
          <w:footerReference r:id="rId14"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docGrid w:linePitch="312" w:charSpace="0"/>
        </w:sectPr>
      </w:pPr>
      <w:r>
        <w:rPr>
          <w:rFonts w:hint="eastAsia" w:ascii="楷体" w:hAnsi="楷体" w:eastAsia="楷体" w:cs="Times New Roman"/>
          <w:b w:val="0"/>
          <w:bCs/>
          <w:szCs w:val="32"/>
        </w:rPr>
        <w:t>——农民生活水平持续提升。</w:t>
      </w:r>
      <w:r>
        <w:rPr>
          <w:rFonts w:hint="eastAsia" w:ascii="仿宋_GB2312" w:hAnsi="仿宋_GB2312" w:eastAsia="仿宋_GB2312" w:cs="仿宋_GB2312"/>
          <w:b w:val="0"/>
          <w:bCs/>
          <w:szCs w:val="24"/>
        </w:rPr>
        <w:t>农村居民收入持续增长，农村居民人均可支配收入达到13000元，城乡居民收入比缩小到</w:t>
      </w:r>
      <w:r>
        <w:rPr>
          <w:rFonts w:ascii="仿宋_GB2312" w:hAnsi="仿宋_GB2312" w:eastAsia="仿宋_GB2312" w:cs="仿宋_GB2312"/>
          <w:b w:val="0"/>
          <w:bCs/>
          <w:szCs w:val="24"/>
        </w:rPr>
        <w:t>2.45:1</w:t>
      </w:r>
      <w:r>
        <w:rPr>
          <w:rFonts w:hint="eastAsia" w:ascii="仿宋_GB2312" w:hAnsi="仿宋_GB2312" w:eastAsia="仿宋_GB2312" w:cs="仿宋_GB2312"/>
          <w:b w:val="0"/>
          <w:bCs/>
          <w:szCs w:val="24"/>
        </w:rPr>
        <w:t>，农村贫困人口全面脱贫。农村基础设施不断完善，城乡公共服务均等化水平显著提高，城乡统一的社会保障制度体系基本建立，农村居民基本保险覆盖率达到100%。</w:t>
      </w:r>
    </w:p>
    <w:p>
      <w:pPr>
        <w:spacing w:before="120" w:beforeLines="50" w:line="240" w:lineRule="auto"/>
        <w:ind w:firstLine="0" w:firstLineChars="0"/>
        <w:jc w:val="center"/>
        <w:rPr>
          <w:rFonts w:eastAsia="黑体" w:cs="Times New Roman"/>
          <w:b w:val="0"/>
          <w:bCs/>
          <w:sz w:val="28"/>
          <w:szCs w:val="21"/>
        </w:rPr>
      </w:pPr>
      <w:r>
        <w:rPr>
          <w:rFonts w:eastAsia="黑体" w:cs="Times New Roman"/>
          <w:b w:val="0"/>
          <w:bCs/>
          <w:sz w:val="28"/>
          <w:szCs w:val="21"/>
        </w:rPr>
        <w:t>表2-1：乡村振兴战略规划主要指标</w:t>
      </w:r>
    </w:p>
    <w:tbl>
      <w:tblPr>
        <w:tblStyle w:val="16"/>
        <w:tblW w:w="8628" w:type="dxa"/>
        <w:jc w:val="center"/>
        <w:tblLayout w:type="fixed"/>
        <w:tblCellMar>
          <w:top w:w="0" w:type="dxa"/>
          <w:left w:w="0" w:type="dxa"/>
          <w:bottom w:w="0" w:type="dxa"/>
          <w:right w:w="0" w:type="dxa"/>
        </w:tblCellMar>
      </w:tblPr>
      <w:tblGrid>
        <w:gridCol w:w="1062"/>
        <w:gridCol w:w="415"/>
        <w:gridCol w:w="2694"/>
        <w:gridCol w:w="708"/>
        <w:gridCol w:w="993"/>
        <w:gridCol w:w="992"/>
        <w:gridCol w:w="992"/>
        <w:gridCol w:w="772"/>
      </w:tblGrid>
      <w:tr>
        <w:tblPrEx>
          <w:tblCellMar>
            <w:top w:w="0" w:type="dxa"/>
            <w:left w:w="0" w:type="dxa"/>
            <w:bottom w:w="0" w:type="dxa"/>
            <w:right w:w="0" w:type="dxa"/>
          </w:tblCellMar>
        </w:tblPrEx>
        <w:trPr>
          <w:trHeight w:val="540" w:hRule="atLeast"/>
          <w:tblHeader/>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类别</w:t>
            </w:r>
          </w:p>
        </w:tc>
        <w:tc>
          <w:tcPr>
            <w:tcW w:w="415"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具体指标</w:t>
            </w:r>
          </w:p>
        </w:tc>
        <w:tc>
          <w:tcPr>
            <w:tcW w:w="70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单位</w:t>
            </w:r>
          </w:p>
        </w:tc>
        <w:tc>
          <w:tcPr>
            <w:tcW w:w="9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2018年</w:t>
            </w:r>
          </w:p>
        </w:tc>
        <w:tc>
          <w:tcPr>
            <w:tcW w:w="99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2020年</w:t>
            </w:r>
          </w:p>
        </w:tc>
        <w:tc>
          <w:tcPr>
            <w:tcW w:w="99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202</w:t>
            </w:r>
            <w:r>
              <w:rPr>
                <w:rFonts w:hint="eastAsia" w:eastAsia="宋体" w:cs="Times New Roman"/>
                <w:b w:val="0"/>
                <w:bCs/>
                <w:kern w:val="0"/>
                <w:sz w:val="22"/>
                <w:lang w:bidi="ar"/>
              </w:rPr>
              <w:t>3</w:t>
            </w:r>
            <w:r>
              <w:rPr>
                <w:rFonts w:eastAsia="宋体" w:cs="Times New Roman"/>
                <w:b w:val="0"/>
                <w:bCs/>
                <w:kern w:val="0"/>
                <w:sz w:val="22"/>
                <w:lang w:bidi="ar"/>
              </w:rPr>
              <w:t>年</w:t>
            </w:r>
          </w:p>
        </w:tc>
        <w:tc>
          <w:tcPr>
            <w:tcW w:w="77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指标</w:t>
            </w:r>
          </w:p>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属性</w:t>
            </w:r>
          </w:p>
        </w:tc>
      </w:tr>
      <w:tr>
        <w:tblPrEx>
          <w:tblCellMar>
            <w:top w:w="0" w:type="dxa"/>
            <w:left w:w="0" w:type="dxa"/>
            <w:bottom w:w="0" w:type="dxa"/>
            <w:right w:w="0" w:type="dxa"/>
          </w:tblCellMar>
        </w:tblPrEx>
        <w:trPr>
          <w:trHeight w:val="27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r>
              <w:rPr>
                <w:rFonts w:eastAsia="宋体" w:cs="Times New Roman"/>
                <w:b w:val="0"/>
                <w:bCs/>
                <w:sz w:val="22"/>
              </w:rPr>
              <w:t>产业兴旺</w:t>
            </w: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粮食综合生产能力</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万吨</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10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sz w:val="22"/>
              </w:rPr>
            </w:pPr>
            <w:r>
              <w:rPr>
                <w:rFonts w:hint="eastAsia" w:eastAsia="宋体" w:cs="Times New Roman"/>
                <w:b w:val="0"/>
                <w:bCs/>
                <w:kern w:val="0"/>
                <w:sz w:val="22"/>
                <w:lang w:bidi="ar"/>
              </w:rPr>
              <w:t>10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约束</w:t>
            </w:r>
            <w:r>
              <w:rPr>
                <w:rFonts w:eastAsia="宋体" w:cs="Times New Roman"/>
                <w:b w:val="0"/>
                <w:bCs/>
                <w:kern w:val="0"/>
                <w:sz w:val="22"/>
                <w:lang w:bidi="ar"/>
              </w:rPr>
              <w:t>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2</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重点特色产业发展</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86"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茶叶产量</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吨</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7110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kern w:val="0"/>
                <w:sz w:val="22"/>
                <w:lang w:bidi="ar"/>
              </w:rPr>
            </w:pPr>
            <w:r>
              <w:rPr>
                <w:rFonts w:hint="eastAsia" w:asciiTheme="minorHAnsi" w:hAnsiTheme="minorHAnsi" w:eastAsiaTheme="minorEastAsia"/>
                <w:b w:val="0"/>
                <w:bCs/>
                <w:sz w:val="21"/>
              </w:rPr>
              <w:t>8300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9000</w:t>
            </w:r>
          </w:p>
        </w:tc>
        <w:tc>
          <w:tcPr>
            <w:tcW w:w="77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r>
      <w:tr>
        <w:tblPrEx>
          <w:tblCellMar>
            <w:top w:w="0" w:type="dxa"/>
            <w:left w:w="0" w:type="dxa"/>
            <w:bottom w:w="0" w:type="dxa"/>
            <w:right w:w="0"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魔芋产量</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万吨</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7.5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8.0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8.5</w:t>
            </w:r>
          </w:p>
        </w:tc>
        <w:tc>
          <w:tcPr>
            <w:tcW w:w="77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生猪</w:t>
            </w:r>
            <w:r>
              <w:rPr>
                <w:rFonts w:hint="eastAsia" w:eastAsia="宋体" w:cs="Times New Roman"/>
                <w:b w:val="0"/>
                <w:bCs/>
                <w:kern w:val="0"/>
                <w:sz w:val="22"/>
                <w:lang w:bidi="ar"/>
              </w:rPr>
              <w:t>存栏</w:t>
            </w:r>
            <w:r>
              <w:rPr>
                <w:rFonts w:eastAsia="宋体" w:cs="Times New Roman"/>
                <w:b w:val="0"/>
                <w:bCs/>
                <w:kern w:val="0"/>
                <w:sz w:val="22"/>
                <w:lang w:bidi="ar"/>
              </w:rPr>
              <w:t>量</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万头</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17</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18</w:t>
            </w:r>
          </w:p>
        </w:tc>
        <w:tc>
          <w:tcPr>
            <w:tcW w:w="772"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3</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农村电商零售额</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亿元</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sz w:val="22"/>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sz w:val="22"/>
              </w:rPr>
              <w:t>3</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4</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乡村旅游人次</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万</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149</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180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300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生态宜居</w:t>
            </w: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5</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森林覆盖率</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66.2</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67</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67.5</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预期</w:t>
            </w:r>
            <w:r>
              <w:rPr>
                <w:rFonts w:eastAsia="宋体" w:cs="Times New Roman"/>
                <w:b w:val="0"/>
                <w:bCs/>
                <w:kern w:val="0"/>
                <w:sz w:val="22"/>
                <w:lang w:bidi="ar"/>
              </w:rPr>
              <w:t>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val="en-US" w:eastAsia="zh-CN" w:bidi="ar"/>
              </w:rPr>
              <w:t>6</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农村</w:t>
            </w:r>
            <w:r>
              <w:rPr>
                <w:rFonts w:hint="eastAsia" w:eastAsia="宋体" w:cs="Times New Roman"/>
                <w:b w:val="0"/>
                <w:bCs/>
                <w:kern w:val="0"/>
                <w:sz w:val="22"/>
                <w:lang w:bidi="ar"/>
              </w:rPr>
              <w:t>集中供水</w:t>
            </w:r>
            <w:r>
              <w:rPr>
                <w:rFonts w:eastAsia="宋体" w:cs="Times New Roman"/>
                <w:b w:val="0"/>
                <w:bCs/>
                <w:kern w:val="0"/>
                <w:sz w:val="22"/>
                <w:lang w:bidi="ar"/>
              </w:rPr>
              <w:t>率</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86</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90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95</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val="en-US" w:eastAsia="zh-CN" w:bidi="ar"/>
              </w:rPr>
              <w:t>7</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通硬化路的村占比</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val="en-US" w:eastAsia="zh-CN" w:bidi="ar"/>
              </w:rPr>
              <w:t>8</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农村信息基础设施普及率</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9</w:t>
            </w:r>
            <w:r>
              <w:rPr>
                <w:rFonts w:eastAsia="宋体" w:cs="Times New Roman"/>
                <w:b w:val="0"/>
                <w:bCs/>
                <w:kern w:val="0"/>
                <w:sz w:val="22"/>
                <w:lang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1</w:t>
            </w:r>
            <w:r>
              <w:rPr>
                <w:rFonts w:eastAsia="宋体" w:cs="Times New Roman"/>
                <w:b w:val="0"/>
                <w:bCs/>
                <w:kern w:val="0"/>
                <w:sz w:val="22"/>
                <w:lang w:bidi="ar"/>
              </w:rPr>
              <w:t>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1</w:t>
            </w:r>
            <w:r>
              <w:rPr>
                <w:rFonts w:eastAsia="宋体" w:cs="Times New Roman"/>
                <w:b w:val="0"/>
                <w:bCs/>
                <w:kern w:val="0"/>
                <w:sz w:val="22"/>
                <w:lang w:bidi="ar"/>
              </w:rPr>
              <w:t>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val="en-US" w:eastAsia="zh-CN" w:bidi="ar"/>
              </w:rPr>
              <w:t>9</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农村无害化卫生厕所普及率</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63</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74</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85</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乡风文明</w:t>
            </w: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sz w:val="22"/>
                <w:lang w:eastAsia="zh-CN"/>
              </w:rPr>
            </w:pPr>
            <w:r>
              <w:rPr>
                <w:rFonts w:eastAsia="宋体" w:cs="Times New Roman"/>
                <w:b w:val="0"/>
                <w:bCs/>
                <w:kern w:val="0"/>
                <w:sz w:val="22"/>
                <w:lang w:bidi="ar"/>
              </w:rPr>
              <w:t>1</w:t>
            </w:r>
            <w:r>
              <w:rPr>
                <w:rFonts w:hint="eastAsia" w:eastAsia="宋体" w:cs="Times New Roman"/>
                <w:b w:val="0"/>
                <w:bCs/>
                <w:kern w:val="0"/>
                <w:sz w:val="22"/>
                <w:lang w:val="en-US" w:eastAsia="zh-CN" w:bidi="ar"/>
              </w:rPr>
              <w:t>0</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村综合文化服务中心覆盖率</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50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75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sz w:val="22"/>
                <w:lang w:val="en-US" w:eastAsia="zh-CN"/>
              </w:rPr>
            </w:pPr>
            <w:r>
              <w:rPr>
                <w:rFonts w:hint="eastAsia" w:eastAsia="宋体" w:cs="Times New Roman"/>
                <w:b w:val="0"/>
                <w:bCs/>
                <w:kern w:val="0"/>
                <w:sz w:val="22"/>
                <w:lang w:val="en-US" w:eastAsia="zh-CN" w:bidi="ar"/>
              </w:rPr>
              <w:t>11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县级</w:t>
            </w:r>
            <w:r>
              <w:rPr>
                <w:rFonts w:hint="eastAsia" w:eastAsia="宋体" w:cs="Times New Roman"/>
                <w:b w:val="0"/>
                <w:bCs/>
                <w:kern w:val="0"/>
                <w:sz w:val="22"/>
                <w:lang w:bidi="ar"/>
              </w:rPr>
              <w:t>及</w:t>
            </w:r>
            <w:r>
              <w:rPr>
                <w:rFonts w:eastAsia="宋体" w:cs="Times New Roman"/>
                <w:b w:val="0"/>
                <w:bCs/>
                <w:kern w:val="0"/>
                <w:sz w:val="22"/>
                <w:lang w:bidi="ar"/>
              </w:rPr>
              <w:t>以上文明村占比</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35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5</w:t>
            </w:r>
            <w:r>
              <w:rPr>
                <w:rFonts w:eastAsia="宋体" w:cs="Times New Roman"/>
                <w:b w:val="0"/>
                <w:bCs/>
                <w:kern w:val="0"/>
                <w:sz w:val="22"/>
                <w:lang w:bidi="ar"/>
              </w:rPr>
              <w:t>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bidi="ar"/>
              </w:rPr>
              <w:t>1</w:t>
            </w:r>
            <w:r>
              <w:rPr>
                <w:rFonts w:hint="eastAsia" w:eastAsia="宋体" w:cs="Times New Roman"/>
                <w:b w:val="0"/>
                <w:bCs/>
                <w:kern w:val="0"/>
                <w:sz w:val="22"/>
                <w:lang w:val="en-US" w:eastAsia="zh-CN" w:bidi="ar"/>
              </w:rPr>
              <w:t>2</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县级及以上文明镇占比</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7</w:t>
            </w:r>
            <w:r>
              <w:rPr>
                <w:rFonts w:eastAsia="宋体" w:cs="Times New Roman"/>
                <w:b w:val="0"/>
                <w:bCs/>
                <w:kern w:val="0"/>
                <w:sz w:val="22"/>
                <w:lang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9</w:t>
            </w:r>
            <w:r>
              <w:rPr>
                <w:rFonts w:eastAsia="宋体" w:cs="Times New Roman"/>
                <w:b w:val="0"/>
                <w:bCs/>
                <w:kern w:val="0"/>
                <w:sz w:val="22"/>
                <w:lang w:bidi="ar"/>
              </w:rPr>
              <w:t>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sz w:val="22"/>
                <w:lang w:eastAsia="zh-CN"/>
              </w:rPr>
            </w:pPr>
            <w:r>
              <w:rPr>
                <w:rFonts w:eastAsia="宋体" w:cs="Times New Roman"/>
                <w:b w:val="0"/>
                <w:bCs/>
                <w:kern w:val="0"/>
                <w:sz w:val="22"/>
                <w:lang w:bidi="ar"/>
              </w:rPr>
              <w:t>1</w:t>
            </w:r>
            <w:r>
              <w:rPr>
                <w:rFonts w:hint="eastAsia" w:eastAsia="宋体" w:cs="Times New Roman"/>
                <w:b w:val="0"/>
                <w:bCs/>
                <w:kern w:val="0"/>
                <w:sz w:val="22"/>
                <w:lang w:val="en-US" w:eastAsia="zh-CN" w:bidi="ar"/>
              </w:rPr>
              <w:t>3</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有体育健身场所的村占比</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60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80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540" w:hRule="atLeast"/>
          <w:jc w:val="center"/>
        </w:trPr>
        <w:tc>
          <w:tcPr>
            <w:tcW w:w="106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sz w:val="22"/>
                <w:lang w:eastAsia="zh-CN"/>
              </w:rPr>
            </w:pPr>
            <w:r>
              <w:rPr>
                <w:rFonts w:eastAsia="宋体" w:cs="Times New Roman"/>
                <w:b w:val="0"/>
                <w:bCs/>
                <w:kern w:val="0"/>
                <w:sz w:val="22"/>
                <w:lang w:bidi="ar"/>
              </w:rPr>
              <w:t>1</w:t>
            </w:r>
            <w:r>
              <w:rPr>
                <w:rFonts w:hint="eastAsia" w:eastAsia="宋体" w:cs="Times New Roman"/>
                <w:b w:val="0"/>
                <w:bCs/>
                <w:kern w:val="0"/>
                <w:sz w:val="22"/>
                <w:lang w:val="en-US" w:eastAsia="zh-CN" w:bidi="ar"/>
              </w:rPr>
              <w:t>4</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农村劳动年龄人口平均</w:t>
            </w:r>
          </w:p>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受教育年限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年</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11</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11.5</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约束</w:t>
            </w:r>
            <w:r>
              <w:rPr>
                <w:rFonts w:eastAsia="宋体" w:cs="Times New Roman"/>
                <w:b w:val="0"/>
                <w:bCs/>
                <w:kern w:val="0"/>
                <w:sz w:val="22"/>
                <w:lang w:bidi="ar"/>
              </w:rPr>
              <w:t>性</w:t>
            </w:r>
          </w:p>
        </w:tc>
      </w:tr>
      <w:tr>
        <w:tblPrEx>
          <w:tblCellMar>
            <w:top w:w="0" w:type="dxa"/>
            <w:left w:w="0" w:type="dxa"/>
            <w:bottom w:w="0" w:type="dxa"/>
            <w:right w:w="0" w:type="dxa"/>
          </w:tblCellMar>
        </w:tblPrEx>
        <w:trPr>
          <w:trHeight w:val="27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治理有效</w:t>
            </w: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sz w:val="22"/>
                <w:lang w:eastAsia="zh-CN"/>
              </w:rPr>
            </w:pPr>
            <w:r>
              <w:rPr>
                <w:rFonts w:eastAsia="宋体" w:cs="Times New Roman"/>
                <w:b w:val="0"/>
                <w:bCs/>
                <w:kern w:val="0"/>
                <w:sz w:val="22"/>
                <w:lang w:bidi="ar"/>
              </w:rPr>
              <w:t>1</w:t>
            </w:r>
            <w:r>
              <w:rPr>
                <w:rFonts w:hint="eastAsia" w:eastAsia="宋体" w:cs="Times New Roman"/>
                <w:b w:val="0"/>
                <w:bCs/>
                <w:kern w:val="0"/>
                <w:sz w:val="22"/>
                <w:lang w:val="en-US" w:eastAsia="zh-CN" w:bidi="ar"/>
              </w:rPr>
              <w:t>5</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有村规民约的村占比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95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hint="eastAsia" w:eastAsia="宋体" w:cs="Times New Roman"/>
                <w:b w:val="0"/>
                <w:bCs/>
                <w:kern w:val="0"/>
                <w:sz w:val="22"/>
                <w:lang w:bidi="ar"/>
              </w:rPr>
              <w:t>1</w:t>
            </w:r>
            <w:r>
              <w:rPr>
                <w:rFonts w:hint="eastAsia" w:eastAsia="宋体" w:cs="Times New Roman"/>
                <w:b w:val="0"/>
                <w:bCs/>
                <w:kern w:val="0"/>
                <w:sz w:val="22"/>
                <w:lang w:val="en-US" w:eastAsia="zh-CN" w:bidi="ar"/>
              </w:rPr>
              <w:t>6</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村庄规划管理覆盖率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75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90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54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sz w:val="22"/>
                <w:lang w:val="en-US" w:eastAsia="zh-CN"/>
              </w:rPr>
            </w:pPr>
            <w:r>
              <w:rPr>
                <w:rFonts w:hint="eastAsia" w:eastAsia="宋体" w:cs="Times New Roman"/>
                <w:b w:val="0"/>
                <w:bCs/>
                <w:kern w:val="0"/>
                <w:sz w:val="22"/>
                <w:lang w:val="en-US" w:eastAsia="zh-CN" w:bidi="ar"/>
              </w:rPr>
              <w:t>17</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村党组书记兼任村委会主任的村占比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sz w:val="22"/>
                <w:lang w:val="en-US" w:eastAsia="zh-CN"/>
              </w:rPr>
            </w:pPr>
            <w:r>
              <w:rPr>
                <w:rFonts w:hint="eastAsia" w:eastAsia="宋体" w:cs="Times New Roman"/>
                <w:b w:val="0"/>
                <w:bCs/>
                <w:kern w:val="0"/>
                <w:sz w:val="22"/>
                <w:lang w:val="en-US" w:eastAsia="zh-CN" w:bidi="ar"/>
              </w:rPr>
              <w:t>18</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有社区服务站的村占比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30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95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生活富裕</w:t>
            </w: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sz w:val="22"/>
                <w:lang w:val="en-US" w:eastAsia="zh-CN"/>
              </w:rPr>
            </w:pPr>
            <w:r>
              <w:rPr>
                <w:rFonts w:hint="eastAsia" w:eastAsia="宋体" w:cs="Times New Roman"/>
                <w:b w:val="0"/>
                <w:bCs/>
                <w:kern w:val="0"/>
                <w:sz w:val="22"/>
                <w:lang w:val="en-US" w:eastAsia="zh-CN" w:bidi="ar"/>
              </w:rPr>
              <w:t>19</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农村居民人均</w:t>
            </w:r>
            <w:r>
              <w:rPr>
                <w:rFonts w:hint="eastAsia" w:eastAsia="宋体" w:cs="Times New Roman"/>
                <w:b w:val="0"/>
                <w:bCs/>
                <w:kern w:val="0"/>
                <w:sz w:val="22"/>
                <w:lang w:bidi="ar"/>
              </w:rPr>
              <w:t>可支配收入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元</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9160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w:t>
            </w:r>
            <w:r>
              <w:rPr>
                <w:rFonts w:hint="eastAsia" w:eastAsia="宋体" w:cs="Times New Roman"/>
                <w:b w:val="0"/>
                <w:bCs/>
                <w:kern w:val="0"/>
                <w:sz w:val="22"/>
                <w:lang w:bidi="ar"/>
              </w:rPr>
              <w:t>080</w:t>
            </w:r>
            <w:r>
              <w:rPr>
                <w:rFonts w:eastAsia="宋体" w:cs="Times New Roman"/>
                <w:b w:val="0"/>
                <w:bCs/>
                <w:kern w:val="0"/>
                <w:sz w:val="22"/>
                <w:lang w:bidi="ar"/>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1</w:t>
            </w:r>
            <w:r>
              <w:rPr>
                <w:rFonts w:hint="eastAsia" w:eastAsia="宋体" w:cs="Times New Roman"/>
                <w:b w:val="0"/>
                <w:bCs/>
                <w:kern w:val="0"/>
                <w:sz w:val="22"/>
                <w:lang w:bidi="ar"/>
              </w:rPr>
              <w:t>300</w:t>
            </w:r>
            <w:r>
              <w:rPr>
                <w:rFonts w:eastAsia="宋体" w:cs="Times New Roman"/>
                <w:b w:val="0"/>
                <w:bCs/>
                <w:kern w:val="0"/>
                <w:sz w:val="22"/>
                <w:lang w:bidi="ar"/>
              </w:rPr>
              <w:t>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sz w:val="22"/>
                <w:lang w:val="en-US" w:eastAsia="zh-CN"/>
              </w:rPr>
            </w:pPr>
            <w:r>
              <w:rPr>
                <w:rFonts w:hint="eastAsia" w:eastAsia="宋体" w:cs="Times New Roman"/>
                <w:b w:val="0"/>
                <w:bCs/>
                <w:kern w:val="0"/>
                <w:sz w:val="22"/>
                <w:lang w:val="en-US" w:eastAsia="zh-CN" w:bidi="ar"/>
              </w:rPr>
              <w:t>20</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城乡居民收入比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2.66</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2.55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2.45</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eastAsia="宋体" w:cs="Times New Roman"/>
                <w:b w:val="0"/>
                <w:bCs/>
                <w:kern w:val="0"/>
                <w:sz w:val="22"/>
                <w:lang w:bidi="ar"/>
              </w:rPr>
              <w:t>预期性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kern w:val="0"/>
                <w:sz w:val="22"/>
                <w:lang w:eastAsia="zh-CN" w:bidi="ar"/>
              </w:rPr>
            </w:pPr>
            <w:r>
              <w:rPr>
                <w:rFonts w:eastAsia="宋体" w:cs="Times New Roman"/>
                <w:b w:val="0"/>
                <w:bCs/>
                <w:kern w:val="0"/>
                <w:sz w:val="22"/>
                <w:lang w:bidi="ar"/>
              </w:rPr>
              <w:t>2</w:t>
            </w:r>
            <w:r>
              <w:rPr>
                <w:rFonts w:hint="eastAsia" w:eastAsia="宋体" w:cs="Times New Roman"/>
                <w:b w:val="0"/>
                <w:bCs/>
                <w:kern w:val="0"/>
                <w:sz w:val="22"/>
                <w:lang w:val="en-US" w:eastAsia="zh-CN" w:bidi="ar"/>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农村居民养老保险参保率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90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92</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487"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kern w:val="0"/>
                <w:sz w:val="22"/>
                <w:lang w:val="en-US" w:eastAsia="zh-CN" w:bidi="ar"/>
              </w:rPr>
            </w:pPr>
            <w:r>
              <w:rPr>
                <w:rFonts w:hint="eastAsia" w:eastAsia="宋体" w:cs="Times New Roman"/>
                <w:b w:val="0"/>
                <w:bCs/>
                <w:kern w:val="0"/>
                <w:sz w:val="22"/>
                <w:lang w:val="en-US" w:eastAsia="zh-CN" w:bidi="ar"/>
              </w:rPr>
              <w:t>22</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宋体" w:cs="Times New Roman"/>
                <w:b w:val="0"/>
                <w:bCs/>
                <w:kern w:val="0"/>
                <w:sz w:val="22"/>
                <w:lang w:val="en-US" w:bidi="ar"/>
              </w:rPr>
            </w:pPr>
            <w:r>
              <w:rPr>
                <w:rFonts w:eastAsia="宋体" w:cs="Times New Roman"/>
                <w:b w:val="0"/>
                <w:bCs/>
                <w:kern w:val="0"/>
                <w:sz w:val="22"/>
                <w:lang w:bidi="ar"/>
              </w:rPr>
              <w:t>农村居民基本医疗保险</w:t>
            </w:r>
            <w:r>
              <w:rPr>
                <w:rFonts w:hint="eastAsia" w:eastAsia="宋体" w:cs="Times New Roman"/>
                <w:b w:val="0"/>
                <w:bCs/>
                <w:kern w:val="0"/>
                <w:sz w:val="22"/>
                <w:lang w:bidi="ar"/>
              </w:rPr>
              <w:t xml:space="preserve">   </w:t>
            </w:r>
            <w:r>
              <w:rPr>
                <w:rFonts w:eastAsia="宋体" w:cs="Times New Roman"/>
                <w:b w:val="0"/>
                <w:bCs/>
                <w:kern w:val="0"/>
                <w:sz w:val="22"/>
                <w:lang w:bidi="ar"/>
              </w:rPr>
              <w:t>参保率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kern w:val="0"/>
                <w:sz w:val="22"/>
                <w:lang w:bidi="ar"/>
              </w:rPr>
            </w:pPr>
            <w:r>
              <w:rPr>
                <w:rFonts w:eastAsia="宋体" w:cs="Times New Roman"/>
                <w:b w:val="0"/>
                <w:bCs/>
                <w:kern w:val="0"/>
                <w:sz w:val="22"/>
                <w:lang w:bidi="ar"/>
              </w:rPr>
              <w:t>约束性</w:t>
            </w:r>
          </w:p>
        </w:tc>
      </w:tr>
      <w:tr>
        <w:tblPrEx>
          <w:tblCellMar>
            <w:top w:w="0" w:type="dxa"/>
            <w:left w:w="0" w:type="dxa"/>
            <w:bottom w:w="0" w:type="dxa"/>
            <w:right w:w="0" w:type="dxa"/>
          </w:tblCellMar>
        </w:tblPrEx>
        <w:trPr>
          <w:trHeight w:val="27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2"/>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宋体" w:cs="Times New Roman"/>
                <w:b w:val="0"/>
                <w:bCs/>
                <w:sz w:val="22"/>
                <w:lang w:eastAsia="zh-CN"/>
              </w:rPr>
            </w:pPr>
            <w:r>
              <w:rPr>
                <w:rFonts w:eastAsia="宋体" w:cs="Times New Roman"/>
                <w:b w:val="0"/>
                <w:bCs/>
                <w:kern w:val="0"/>
                <w:sz w:val="22"/>
                <w:lang w:bidi="ar"/>
              </w:rPr>
              <w:t>2</w:t>
            </w:r>
            <w:r>
              <w:rPr>
                <w:rFonts w:hint="eastAsia" w:eastAsia="宋体" w:cs="Times New Roman"/>
                <w:b w:val="0"/>
                <w:bCs/>
                <w:kern w:val="0"/>
                <w:sz w:val="22"/>
                <w:lang w:val="en-US" w:eastAsia="zh-CN" w:bidi="ar"/>
              </w:rPr>
              <w:t>3</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城乡居民人均预期寿命</w:t>
            </w:r>
          </w:p>
        </w:tc>
        <w:tc>
          <w:tcPr>
            <w:tcW w:w="708"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jc w:val="center"/>
              <w:textAlignment w:val="center"/>
              <w:rPr>
                <w:rFonts w:eastAsia="宋体" w:cs="Times New Roman"/>
                <w:b w:val="0"/>
                <w:bCs/>
                <w:kern w:val="0"/>
                <w:sz w:val="22"/>
                <w:lang w:bidi="ar"/>
              </w:rPr>
            </w:pPr>
            <w:r>
              <w:rPr>
                <w:rFonts w:hint="eastAsia" w:eastAsia="宋体" w:cs="Times New Roman"/>
                <w:b w:val="0"/>
                <w:bCs/>
                <w:kern w:val="0"/>
                <w:sz w:val="22"/>
                <w:lang w:bidi="ar"/>
              </w:rPr>
              <w:t>岁</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7</w:t>
            </w:r>
            <w:r>
              <w:rPr>
                <w:rFonts w:eastAsia="宋体" w:cs="Times New Roman"/>
                <w:b w:val="0"/>
                <w:bCs/>
                <w:sz w:val="22"/>
              </w:rPr>
              <w:t>5.5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7</w:t>
            </w:r>
            <w:r>
              <w:rPr>
                <w:rFonts w:eastAsia="宋体" w:cs="Times New Roman"/>
                <w:b w:val="0"/>
                <w:bCs/>
                <w:sz w:val="22"/>
              </w:rPr>
              <w:t>6.7</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sz w:val="22"/>
              </w:rPr>
              <w:t>7</w:t>
            </w:r>
            <w:r>
              <w:rPr>
                <w:rFonts w:eastAsia="宋体" w:cs="Times New Roman"/>
                <w:b w:val="0"/>
                <w:bCs/>
                <w:sz w:val="22"/>
              </w:rPr>
              <w:t>8</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sz w:val="22"/>
              </w:rPr>
            </w:pPr>
            <w:r>
              <w:rPr>
                <w:rFonts w:hint="eastAsia" w:eastAsia="宋体" w:cs="Times New Roman"/>
                <w:b w:val="0"/>
                <w:bCs/>
                <w:kern w:val="0"/>
                <w:sz w:val="22"/>
                <w:lang w:bidi="ar"/>
              </w:rPr>
              <w:t>预期性</w:t>
            </w:r>
          </w:p>
        </w:tc>
      </w:tr>
    </w:tbl>
    <w:p>
      <w:pPr>
        <w:spacing w:before="120" w:beforeLines="50"/>
        <w:ind w:firstLine="640"/>
        <w:outlineLvl w:val="1"/>
        <w:rPr>
          <w:rFonts w:ascii="黑体" w:hAnsi="黑体" w:eastAsia="黑体"/>
          <w:b w:val="0"/>
          <w:bCs/>
        </w:rPr>
      </w:pPr>
      <w:bookmarkStart w:id="56" w:name="_Toc24440"/>
      <w:bookmarkStart w:id="57" w:name="_Toc23722"/>
      <w:bookmarkStart w:id="58" w:name="_Toc10545812"/>
      <w:bookmarkStart w:id="59" w:name="_Toc12549128"/>
      <w:bookmarkStart w:id="60" w:name="_Toc7946108"/>
      <w:bookmarkStart w:id="61" w:name="_Toc22807"/>
      <w:bookmarkStart w:id="62" w:name="_Toc9816"/>
      <w:r>
        <w:rPr>
          <w:rFonts w:hint="eastAsia" w:ascii="黑体" w:hAnsi="黑体" w:eastAsia="黑体"/>
          <w:b w:val="0"/>
          <w:bCs/>
        </w:rPr>
        <w:t>四、远景展望</w:t>
      </w:r>
      <w:bookmarkEnd w:id="56"/>
      <w:bookmarkEnd w:id="57"/>
      <w:bookmarkEnd w:id="58"/>
      <w:bookmarkEnd w:id="59"/>
      <w:bookmarkEnd w:id="60"/>
      <w:bookmarkEnd w:id="61"/>
      <w:bookmarkEnd w:id="62"/>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到</w:t>
      </w:r>
      <w:r>
        <w:rPr>
          <w:rFonts w:hint="eastAsia" w:ascii="仿宋_GB2312" w:hAnsi="仿宋_GB2312" w:eastAsia="仿宋_GB2312" w:cs="仿宋_GB2312"/>
          <w:b w:val="0"/>
          <w:bCs/>
          <w:szCs w:val="24"/>
        </w:rPr>
        <w:t>2035</w:t>
      </w:r>
      <w:r>
        <w:rPr>
          <w:rFonts w:hint="eastAsia" w:ascii="仿宋_GB2312" w:hAnsi="仿宋_GB2312" w:eastAsia="仿宋_GB2312" w:cs="仿宋_GB2312"/>
          <w:b w:val="0"/>
          <w:bCs/>
          <w:szCs w:val="32"/>
        </w:rPr>
        <w:t>年，乡村振兴取得决定性进展，农业农村现代化基本实现。城乡之间要素流动速度加快，收入差距明显缩小，城乡一体化发展格局基本形成，生态宜居村庄成为城乡居民的美丽家园。城乡居民文化素质、受教育程度、社会保障等差距明显缩小，整个社会文明程度大幅度提高。习近平新时代中国特色社会主义思想深入人心，自治、法治、德治相结合的乡村治理体系进一步健全，全县所有村镇均进入文明村镇行列。</w:t>
      </w:r>
    </w:p>
    <w:p>
      <w:pPr>
        <w:overflowPunct w:val="0"/>
        <w:ind w:firstLine="640"/>
        <w:rPr>
          <w:rFonts w:ascii="仿宋_GB2312" w:hAnsi="仿宋_GB2312" w:eastAsia="仿宋_GB2312" w:cs="仿宋_GB2312"/>
          <w:b w:val="0"/>
          <w:bCs/>
          <w:szCs w:val="32"/>
        </w:rPr>
        <w:sectPr>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docGrid w:linePitch="312" w:charSpace="0"/>
        </w:sectPr>
      </w:pPr>
      <w:r>
        <w:rPr>
          <w:rFonts w:hint="eastAsia" w:ascii="仿宋_GB2312" w:hAnsi="仿宋_GB2312" w:eastAsia="仿宋_GB2312" w:cs="仿宋_GB2312"/>
          <w:b w:val="0"/>
          <w:bCs/>
          <w:szCs w:val="32"/>
        </w:rPr>
        <w:t>到</w:t>
      </w:r>
      <w:r>
        <w:rPr>
          <w:rFonts w:hint="eastAsia" w:ascii="仿宋_GB2312" w:hAnsi="仿宋_GB2312" w:eastAsia="仿宋_GB2312" w:cs="仿宋_GB2312"/>
          <w:b w:val="0"/>
          <w:bCs/>
          <w:szCs w:val="24"/>
        </w:rPr>
        <w:t>2050</w:t>
      </w:r>
      <w:r>
        <w:rPr>
          <w:rFonts w:hint="eastAsia" w:ascii="仿宋_GB2312" w:hAnsi="仿宋_GB2312" w:eastAsia="仿宋_GB2312" w:cs="仿宋_GB2312"/>
          <w:b w:val="0"/>
          <w:bCs/>
          <w:szCs w:val="32"/>
        </w:rPr>
        <w:t>年，乡村全面振兴，农业强、农村美、农民富全面实现。建成产业兴旺的特色乡村、生态宜居的美丽乡村、乡风文明的人文乡村、治理有效的善治乡村、生活富裕的共富乡村，农民群众享有更加幸福安康的美好生活。</w:t>
      </w:r>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63" w:name="_Toc7946109"/>
      <w:bookmarkStart w:id="64" w:name="_Toc12549129"/>
      <w:bookmarkStart w:id="65" w:name="_Toc10545813"/>
      <w:bookmarkStart w:id="66" w:name="_Toc813"/>
      <w:bookmarkStart w:id="67" w:name="_Toc19183"/>
      <w:bookmarkStart w:id="68" w:name="_Toc27696"/>
      <w:bookmarkStart w:id="69" w:name="_Toc28026"/>
      <w:r>
        <w:rPr>
          <w:rFonts w:hint="eastAsia" w:ascii="黑体" w:hAnsi="黑体" w:eastAsia="黑体"/>
          <w:b w:val="0"/>
          <w:bCs/>
          <w:szCs w:val="32"/>
        </w:rPr>
        <w:t xml:space="preserve">第三章 </w:t>
      </w:r>
      <w:bookmarkEnd w:id="63"/>
      <w:bookmarkEnd w:id="64"/>
      <w:bookmarkEnd w:id="65"/>
      <w:r>
        <w:rPr>
          <w:rFonts w:hint="eastAsia" w:ascii="黑体" w:hAnsi="黑体" w:eastAsia="黑体"/>
          <w:b w:val="0"/>
          <w:bCs/>
          <w:szCs w:val="32"/>
        </w:rPr>
        <w:t>优化空间结构 构建县镇村联动发展新格局</w:t>
      </w:r>
      <w:bookmarkEnd w:id="66"/>
      <w:bookmarkEnd w:id="67"/>
      <w:bookmarkEnd w:id="68"/>
      <w:bookmarkEnd w:id="69"/>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按照高质量发展要求，统筹城乡布局、产业布局、人口布局，坚持乡村振兴发展与主体功能定位和国土空间开发相适应，与推进陕南移民搬迁和新型城镇化进程相协调，打造生产生活生态“三生”共赢格局，形成城乡经济社会一体化发展新格局。</w:t>
      </w:r>
    </w:p>
    <w:p>
      <w:pPr>
        <w:ind w:firstLine="640"/>
        <w:outlineLvl w:val="1"/>
        <w:rPr>
          <w:rFonts w:ascii="黑体" w:hAnsi="黑体" w:eastAsia="黑体"/>
          <w:b w:val="0"/>
          <w:bCs/>
        </w:rPr>
      </w:pPr>
      <w:bookmarkStart w:id="70" w:name="_Toc12549130"/>
      <w:bookmarkStart w:id="71" w:name="_Toc7946110"/>
      <w:bookmarkStart w:id="72" w:name="_Toc22011"/>
      <w:bookmarkStart w:id="73" w:name="_Toc12560"/>
      <w:bookmarkStart w:id="74" w:name="_Toc10545814"/>
      <w:bookmarkStart w:id="75" w:name="_Toc15490"/>
      <w:bookmarkStart w:id="76" w:name="_Toc7553"/>
      <w:r>
        <w:rPr>
          <w:rFonts w:hint="eastAsia" w:ascii="黑体" w:hAnsi="黑体" w:eastAsia="黑体"/>
          <w:b w:val="0"/>
          <w:bCs/>
        </w:rPr>
        <w:t>一、统筹城乡发展空间</w:t>
      </w:r>
      <w:bookmarkEnd w:id="70"/>
      <w:bookmarkEnd w:id="71"/>
      <w:bookmarkEnd w:id="72"/>
      <w:bookmarkEnd w:id="73"/>
      <w:bookmarkEnd w:id="74"/>
      <w:bookmarkEnd w:id="75"/>
      <w:bookmarkEnd w:id="76"/>
    </w:p>
    <w:p>
      <w:pPr>
        <w:overflowPunct w:val="0"/>
        <w:ind w:firstLine="643"/>
        <w:outlineLvl w:val="2"/>
        <w:rPr>
          <w:rFonts w:ascii="楷体" w:hAnsi="楷体" w:eastAsia="楷体"/>
          <w:b w:val="0"/>
          <w:bCs/>
          <w:szCs w:val="24"/>
        </w:rPr>
      </w:pPr>
      <w:bookmarkStart w:id="77" w:name="_Toc7946111"/>
      <w:bookmarkStart w:id="78" w:name="_Toc12549131"/>
      <w:bookmarkStart w:id="79" w:name="_Toc10545815"/>
      <w:r>
        <w:rPr>
          <w:rFonts w:hint="eastAsia" w:ascii="楷体" w:hAnsi="楷体" w:eastAsia="楷体"/>
          <w:b w:val="0"/>
          <w:bCs/>
          <w:szCs w:val="24"/>
        </w:rPr>
        <w:t>（一）强化空间用途管控</w:t>
      </w:r>
      <w:bookmarkEnd w:id="77"/>
      <w:bookmarkEnd w:id="78"/>
      <w:bookmarkEnd w:id="79"/>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加快启动国土空间规划编制工作，统筹全县城镇与乡村空间资源的开发利用、保护和修复。按照主体功能定位，开展资源环境承载能力和乡村空间开发适宜性评价，科学划定与严格执行禁止建设区、限制建设区、适宜建设区，合理划定乡村振兴发展的生态空间、农业空间与城镇空间资源。及时将《紫阳县乡村振兴战略实施规划（2019-2023年）》与《紫阳县县城总体规划（2012-2030）》《县级土地利用总体规划》进行系统对接与必要调整，为生态保护、农业发展和城乡建设更合理地配置空间资源，更好地推动各类空间的划定和管控在镇村层面精准落地，实现城乡协调发展。</w:t>
      </w:r>
    </w:p>
    <w:p>
      <w:pPr>
        <w:spacing w:line="240" w:lineRule="auto"/>
        <w:ind w:firstLine="0" w:firstLineChars="0"/>
        <w:jc w:val="center"/>
        <w:rPr>
          <w:rFonts w:eastAsia="黑体" w:cs="Times New Roman"/>
          <w:b w:val="0"/>
          <w:bCs/>
          <w:sz w:val="24"/>
          <w:szCs w:val="20"/>
        </w:rPr>
      </w:pPr>
      <w:bookmarkStart w:id="80" w:name="_Toc10545816"/>
      <w:bookmarkStart w:id="81" w:name="_Toc12549132"/>
      <w:bookmarkStart w:id="82" w:name="_Toc7946112"/>
      <w:r>
        <w:rPr>
          <w:rFonts w:hint="eastAsia" w:eastAsia="黑体" w:cs="Times New Roman"/>
          <w:b w:val="0"/>
          <w:bCs/>
          <w:sz w:val="24"/>
          <w:szCs w:val="20"/>
        </w:rPr>
        <w:t>表3-</w:t>
      </w:r>
      <w:r>
        <w:rPr>
          <w:rFonts w:eastAsia="黑体" w:cs="Times New Roman"/>
          <w:b w:val="0"/>
          <w:bCs/>
          <w:sz w:val="24"/>
          <w:szCs w:val="20"/>
        </w:rPr>
        <w:t>1</w:t>
      </w:r>
      <w:r>
        <w:rPr>
          <w:rFonts w:hint="eastAsia" w:eastAsia="黑体" w:cs="Times New Roman"/>
          <w:b w:val="0"/>
          <w:bCs/>
          <w:sz w:val="24"/>
          <w:szCs w:val="20"/>
        </w:rPr>
        <w:t>：紫阳县</w:t>
      </w:r>
      <w:r>
        <w:rPr>
          <w:rFonts w:eastAsia="黑体" w:cs="Times New Roman"/>
          <w:b w:val="0"/>
          <w:bCs/>
          <w:sz w:val="24"/>
          <w:szCs w:val="20"/>
        </w:rPr>
        <w:t>空间管制</w:t>
      </w:r>
      <w:r>
        <w:rPr>
          <w:rFonts w:hint="eastAsia" w:eastAsia="黑体" w:cs="Times New Roman"/>
          <w:b w:val="0"/>
          <w:bCs/>
          <w:sz w:val="24"/>
          <w:szCs w:val="20"/>
        </w:rPr>
        <w:t>区划</w:t>
      </w:r>
      <w:r>
        <w:rPr>
          <w:rFonts w:eastAsia="黑体" w:cs="Times New Roman"/>
          <w:b w:val="0"/>
          <w:bCs/>
          <w:sz w:val="24"/>
          <w:szCs w:val="20"/>
        </w:rPr>
        <w:t>及</w:t>
      </w:r>
      <w:r>
        <w:rPr>
          <w:rFonts w:hint="eastAsia" w:eastAsia="黑体" w:cs="Times New Roman"/>
          <w:b w:val="0"/>
          <w:bCs/>
          <w:sz w:val="24"/>
          <w:szCs w:val="20"/>
        </w:rPr>
        <w:t>管控</w:t>
      </w:r>
      <w:r>
        <w:rPr>
          <w:rFonts w:eastAsia="黑体" w:cs="Times New Roman"/>
          <w:b w:val="0"/>
          <w:bCs/>
          <w:sz w:val="24"/>
          <w:szCs w:val="20"/>
        </w:rPr>
        <w:t>要求</w:t>
      </w:r>
    </w:p>
    <w:tbl>
      <w:tblPr>
        <w:tblStyle w:val="17"/>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3491"/>
        <w:gridCol w:w="3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580" w:type="dxa"/>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管控区划</w:t>
            </w:r>
          </w:p>
        </w:tc>
        <w:tc>
          <w:tcPr>
            <w:tcW w:w="3491" w:type="dxa"/>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空间范围</w:t>
            </w:r>
          </w:p>
        </w:tc>
        <w:tc>
          <w:tcPr>
            <w:tcW w:w="3496" w:type="dxa"/>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1580" w:type="dxa"/>
            <w:vAlign w:val="center"/>
          </w:tcPr>
          <w:p>
            <w:pPr>
              <w:spacing w:line="240" w:lineRule="auto"/>
              <w:ind w:firstLine="0" w:firstLineChars="0"/>
              <w:jc w:val="center"/>
              <w:textAlignment w:val="center"/>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禁止建设区</w:t>
            </w:r>
          </w:p>
        </w:tc>
        <w:tc>
          <w:tcPr>
            <w:tcW w:w="3491" w:type="dxa"/>
            <w:vAlign w:val="center"/>
          </w:tcPr>
          <w:p>
            <w:pPr>
              <w:spacing w:line="240" w:lineRule="auto"/>
              <w:ind w:firstLine="0" w:firstLineChars="0"/>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自然保护区核心区、森林公园、地质公园、列入省级以上保护名录的野生动植物自然栖息地、水源保护核心区、主要河湖蓄滞洪区、地质灾害高危地区等。</w:t>
            </w:r>
          </w:p>
        </w:tc>
        <w:tc>
          <w:tcPr>
            <w:tcW w:w="3496" w:type="dxa"/>
            <w:vAlign w:val="center"/>
          </w:tcPr>
          <w:p>
            <w:pPr>
              <w:spacing w:line="240" w:lineRule="auto"/>
              <w:ind w:firstLine="0" w:firstLineChars="0"/>
              <w:jc w:val="left"/>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主导用途为生态与环境保护空间，严格禁止与主导功能不相符的各项建设。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vAlign w:val="center"/>
          </w:tcPr>
          <w:p>
            <w:pPr>
              <w:spacing w:line="240" w:lineRule="auto"/>
              <w:ind w:firstLine="0" w:firstLineChars="0"/>
              <w:jc w:val="center"/>
              <w:textAlignment w:val="center"/>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限制建设区</w:t>
            </w:r>
          </w:p>
        </w:tc>
        <w:tc>
          <w:tcPr>
            <w:tcW w:w="3491" w:type="dxa"/>
            <w:vAlign w:val="center"/>
          </w:tcPr>
          <w:p>
            <w:pPr>
              <w:spacing w:line="240" w:lineRule="auto"/>
              <w:ind w:firstLine="0" w:firstLineChars="0"/>
              <w:jc w:val="left"/>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发展农业生产，开展土地整治和基本农田建设的主要区域。</w:t>
            </w:r>
          </w:p>
        </w:tc>
        <w:tc>
          <w:tcPr>
            <w:tcW w:w="3496" w:type="dxa"/>
            <w:vAlign w:val="center"/>
          </w:tcPr>
          <w:p>
            <w:pPr>
              <w:spacing w:line="240" w:lineRule="auto"/>
              <w:ind w:firstLine="0" w:firstLineChars="0"/>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禁止城市、建制村、农村居民点建设，控制线性基础设施和独立建设项目用地。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vAlign w:val="center"/>
          </w:tcPr>
          <w:p>
            <w:pPr>
              <w:spacing w:line="240" w:lineRule="auto"/>
              <w:ind w:firstLine="0" w:firstLineChars="0"/>
              <w:jc w:val="center"/>
              <w:textAlignment w:val="center"/>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适宜建设区</w:t>
            </w:r>
          </w:p>
        </w:tc>
        <w:tc>
          <w:tcPr>
            <w:tcW w:w="3491" w:type="dxa"/>
            <w:vAlign w:val="center"/>
          </w:tcPr>
          <w:p>
            <w:pPr>
              <w:spacing w:line="240" w:lineRule="auto"/>
              <w:ind w:firstLine="0" w:firstLineChars="0"/>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按照有利发展、保护资源、保护环境的要求，在建设用地适宜性评价以及与其他相关规划充分协调的基础上，根据建设用地规模控制指标划定。</w:t>
            </w:r>
          </w:p>
        </w:tc>
        <w:tc>
          <w:tcPr>
            <w:tcW w:w="3496" w:type="dxa"/>
            <w:vAlign w:val="center"/>
          </w:tcPr>
          <w:p>
            <w:pPr>
              <w:spacing w:line="240" w:lineRule="auto"/>
              <w:ind w:firstLine="0" w:firstLineChars="0"/>
              <w:rPr>
                <w:rFonts w:cs="Times New Roman" w:asciiTheme="minorEastAsia" w:hAnsiTheme="minorEastAsia" w:eastAsiaTheme="minorEastAsia"/>
                <w:b w:val="0"/>
                <w:bCs/>
                <w:w w:val="90"/>
                <w:sz w:val="24"/>
                <w:szCs w:val="24"/>
              </w:rPr>
            </w:pPr>
            <w:r>
              <w:rPr>
                <w:rFonts w:hint="eastAsia" w:cs="Times New Roman" w:asciiTheme="minorEastAsia" w:hAnsiTheme="minorEastAsia" w:eastAsiaTheme="minorEastAsia"/>
                <w:b w:val="0"/>
                <w:bCs/>
                <w:w w:val="90"/>
                <w:sz w:val="24"/>
                <w:szCs w:val="24"/>
              </w:rPr>
              <w:t>主导用途为城市、建制村、农村居民点及工矿建设发展空间。统筹增量与存量用地，在建设用地扩展边界内合理调整，促进土地节约集约利用。</w:t>
            </w:r>
          </w:p>
        </w:tc>
      </w:tr>
    </w:tbl>
    <w:p>
      <w:pPr>
        <w:overflowPunct w:val="0"/>
        <w:ind w:firstLine="643"/>
        <w:outlineLvl w:val="2"/>
        <w:rPr>
          <w:rFonts w:ascii="楷体" w:hAnsi="楷体" w:eastAsia="楷体"/>
          <w:b w:val="0"/>
          <w:bCs/>
          <w:szCs w:val="24"/>
        </w:rPr>
      </w:pPr>
      <w:r>
        <w:rPr>
          <w:rFonts w:hint="eastAsia" w:ascii="楷体" w:hAnsi="楷体" w:eastAsia="楷体"/>
          <w:b w:val="0"/>
          <w:bCs/>
          <w:szCs w:val="24"/>
        </w:rPr>
        <w:t>（二）完善城乡布局结构</w:t>
      </w:r>
      <w:bookmarkEnd w:id="80"/>
      <w:bookmarkEnd w:id="81"/>
      <w:bookmarkEnd w:id="82"/>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依托主体功能区和区位交通，进一步优化县域城乡发展布局，构建“一主两副多点”的新型城镇化体系。将新型城镇化建设作为带动乡村振兴发展的重要驱动力与支撑力，增强重点镇对乡村的带动、反哺和人口经济集聚能力，突出产业聚集和人口聚集的良性互动。因地制宜，发展特色鲜明、产城融合、充满魅力的特色镇，提高各镇规划和建设水平，加强以镇政府驻地为中心的农民生活圈建设。以镇带村、以村促镇，推动镇村联动发展，着力提升小城镇轴带发展能力，实现以轴带点、以点带面、全面发展。</w:t>
      </w:r>
      <w:bookmarkStart w:id="83" w:name="_Toc7946113"/>
      <w:bookmarkStart w:id="84" w:name="_Toc10545817"/>
      <w:bookmarkStart w:id="85" w:name="_Toc12549133"/>
    </w:p>
    <w:p>
      <w:pPr>
        <w:overflowPunct w:val="0"/>
        <w:ind w:firstLine="643"/>
        <w:outlineLvl w:val="2"/>
        <w:rPr>
          <w:rFonts w:ascii="楷体" w:hAnsi="楷体" w:eastAsia="楷体"/>
          <w:b w:val="0"/>
          <w:bCs/>
          <w:szCs w:val="24"/>
        </w:rPr>
      </w:pPr>
      <w:r>
        <w:rPr>
          <w:rFonts w:hint="eastAsia" w:ascii="楷体" w:hAnsi="楷体" w:eastAsia="楷体"/>
          <w:b w:val="0"/>
          <w:bCs/>
          <w:szCs w:val="24"/>
        </w:rPr>
        <w:t>（三）推动城乡统一规划</w:t>
      </w:r>
      <w:bookmarkEnd w:id="83"/>
      <w:bookmarkEnd w:id="84"/>
      <w:bookmarkEnd w:id="85"/>
      <w:bookmarkStart w:id="86" w:name="_Toc7946114"/>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以乡村振兴实施规划为依据，建立完善乡村规划体系，推动村庄规划管理全覆盖。综合考虑村庄演变规律、集聚特点和现状分布，结合农民生产生活半径，合理确定村庄规模，避免随意撤并村庄搞大社区、违背农民意愿大拆大建。加强乡村风貌整体管控，重点以紫阳传统民居（板石民居）、绿色简洁的现代民居为主，建设立足乡土社会、富有紫阳特色、承载田园乡愁、体现现代文明的升级版乡村，避免千村一面，防止乡村景观城市化。</w:t>
      </w:r>
      <w:bookmarkEnd w:id="86"/>
    </w:p>
    <w:p>
      <w:pPr>
        <w:ind w:firstLine="640"/>
        <w:outlineLvl w:val="1"/>
        <w:rPr>
          <w:rFonts w:ascii="黑体" w:hAnsi="黑体" w:eastAsia="黑体"/>
          <w:b w:val="0"/>
          <w:bCs/>
        </w:rPr>
      </w:pPr>
      <w:bookmarkStart w:id="87" w:name="_Toc24150"/>
      <w:bookmarkStart w:id="88" w:name="_Toc11284"/>
      <w:bookmarkStart w:id="89" w:name="_Toc4143"/>
      <w:r>
        <w:rPr>
          <w:rFonts w:hint="eastAsia" w:ascii="黑体" w:hAnsi="黑体" w:eastAsia="黑体"/>
          <w:b w:val="0"/>
          <w:bCs/>
        </w:rPr>
        <w:t>二、分类推进乡村发展</w:t>
      </w:r>
      <w:bookmarkEnd w:id="87"/>
      <w:bookmarkEnd w:id="88"/>
      <w:bookmarkEnd w:id="89"/>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顺应村庄发展规律和演变趋势，根据不同村庄的发展现状、区位条件、资源禀赋，按照集聚提升、特色保护、城郊融合、产业带动、搬迁撤并的思路，因地制宜、精准施策、分类推进。</w:t>
      </w:r>
    </w:p>
    <w:p>
      <w:pPr>
        <w:overflowPunct w:val="0"/>
        <w:ind w:firstLine="643"/>
        <w:outlineLvl w:val="2"/>
        <w:rPr>
          <w:rFonts w:ascii="楷体" w:hAnsi="楷体" w:eastAsia="楷体"/>
          <w:b w:val="0"/>
          <w:bCs/>
          <w:szCs w:val="24"/>
        </w:rPr>
      </w:pPr>
      <w:r>
        <w:rPr>
          <w:rFonts w:hint="eastAsia" w:ascii="楷体" w:hAnsi="楷体" w:eastAsia="楷体"/>
          <w:b w:val="0"/>
          <w:bCs/>
          <w:szCs w:val="24"/>
        </w:rPr>
        <w:t>（一）集聚提升类村庄</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自然条件较好、现有规模较大、人口聚集能力较强的中心村和其他必须保留发展的一般村庄，该类村庄占比30%以上，是全县乡村振兴的重点。要科学确定村庄发展方向，有序推进改造提升，激活产业、优化环境、提振人气、增添活力，完善基础设施和公共服务，保护保留乡村风貌，促进人口、产业、服务向中心村集中。分别打造汉水文化型、田园风光和农事体验型、乡村旅游观光型、特色地貌型、风景名胜型、红色风情型等多种类型的美丽乡村示范片区。</w:t>
      </w:r>
    </w:p>
    <w:p>
      <w:pPr>
        <w:overflowPunct w:val="0"/>
        <w:ind w:firstLine="643"/>
        <w:outlineLvl w:val="2"/>
        <w:rPr>
          <w:rFonts w:ascii="楷体" w:hAnsi="楷体" w:eastAsia="楷体"/>
          <w:b w:val="0"/>
          <w:bCs/>
          <w:szCs w:val="24"/>
        </w:rPr>
      </w:pPr>
      <w:r>
        <w:rPr>
          <w:rFonts w:hint="eastAsia" w:ascii="楷体" w:hAnsi="楷体" w:eastAsia="楷体"/>
          <w:b w:val="0"/>
          <w:bCs/>
          <w:szCs w:val="24"/>
        </w:rPr>
        <w:t>（二）特色保护类村庄</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在保持村庄的完整性、真实性和延续性的前提下，合理利用每个村庄的特色资源，发展特色产业。对于特色资源、产业基础较好，尤其是文化底蕴深厚、历史悠久、风貌独特的村庄，打造乡村振兴特色村。历史文化古村、传统村落、自然风光特色村等，传承民风民俗和生产生活方式，探索设立村庄建设保护红线，推动特色资源保护与村庄发展良性互促，充分彰显汉水文化、道教文化和茶歌文化等内涵特质。</w:t>
      </w:r>
      <w:bookmarkStart w:id="90" w:name="_Toc12549137"/>
      <w:bookmarkStart w:id="91" w:name="_Toc10545825"/>
    </w:p>
    <w:p>
      <w:pPr>
        <w:overflowPunct w:val="0"/>
        <w:ind w:firstLine="643"/>
        <w:outlineLvl w:val="2"/>
        <w:rPr>
          <w:rFonts w:ascii="楷体" w:hAnsi="楷体" w:eastAsia="楷体"/>
          <w:b w:val="0"/>
          <w:bCs/>
          <w:szCs w:val="24"/>
        </w:rPr>
      </w:pPr>
      <w:r>
        <w:rPr>
          <w:rFonts w:hint="eastAsia" w:ascii="楷体" w:hAnsi="楷体" w:eastAsia="楷体"/>
          <w:b w:val="0"/>
          <w:bCs/>
          <w:szCs w:val="24"/>
        </w:rPr>
        <w:t>（三）城镇辐射类村庄</w:t>
      </w:r>
      <w:bookmarkEnd w:id="90"/>
      <w:bookmarkEnd w:id="91"/>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主要包括县城和集镇所在村及紧邻城镇的村庄，受县城与集镇发展辐射较强的村域，该类村庄具备向城镇中心一体化发展的条件。在村庄建设上，加强基础设施和公共服务设施建设，实现城镇村共建共享；在村容村貌上，保留村庄形态，不宜大拆大建；在产业发展上，推进一二三产业融合发展；在功能拓展上，逐步强化其服务城镇发展、承接城镇功能外溢、满足城镇消费需求的能力。</w:t>
      </w:r>
      <w:bookmarkStart w:id="92" w:name="_Toc12549139"/>
    </w:p>
    <w:p>
      <w:pPr>
        <w:overflowPunct w:val="0"/>
        <w:ind w:firstLine="643"/>
        <w:outlineLvl w:val="2"/>
        <w:rPr>
          <w:rFonts w:ascii="楷体" w:hAnsi="楷体" w:eastAsia="楷体"/>
          <w:b w:val="0"/>
          <w:bCs/>
          <w:szCs w:val="24"/>
        </w:rPr>
      </w:pPr>
      <w:r>
        <w:rPr>
          <w:rFonts w:hint="eastAsia" w:ascii="楷体" w:hAnsi="楷体" w:eastAsia="楷体"/>
          <w:b w:val="0"/>
          <w:bCs/>
          <w:szCs w:val="24"/>
        </w:rPr>
        <w:t>（四）产业带动类村庄</w:t>
      </w:r>
      <w:bookmarkEnd w:id="92"/>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重点是自然资源条件好，产业比较优势突出，产业发展有一定基础的村庄。村庄建设要推动农村社区、产业园区和生态功能区“三区”共同建设，引导农民向社区集中、产业向园区集中、土地向规模经营集中，着力打造“设施完善、功能齐全、环境优美、宜居宜业宜游”的多元综合体。</w:t>
      </w:r>
    </w:p>
    <w:p>
      <w:pPr>
        <w:overflowPunct w:val="0"/>
        <w:ind w:firstLine="643"/>
        <w:outlineLvl w:val="2"/>
        <w:rPr>
          <w:rFonts w:ascii="楷体" w:hAnsi="楷体" w:eastAsia="楷体"/>
          <w:b w:val="0"/>
          <w:bCs/>
          <w:szCs w:val="24"/>
        </w:rPr>
      </w:pPr>
      <w:bookmarkStart w:id="93" w:name="_Toc12549140"/>
      <w:bookmarkStart w:id="94" w:name="_Toc10545826"/>
      <w:r>
        <w:rPr>
          <w:rFonts w:hint="eastAsia" w:ascii="楷体" w:hAnsi="楷体" w:eastAsia="楷体"/>
          <w:b w:val="0"/>
          <w:bCs/>
          <w:szCs w:val="24"/>
        </w:rPr>
        <w:t>（五）搬迁撤并类村庄</w:t>
      </w:r>
      <w:bookmarkEnd w:id="93"/>
      <w:bookmarkEnd w:id="94"/>
    </w:p>
    <w:p>
      <w:pPr>
        <w:overflowPunct w:val="0"/>
        <w:ind w:firstLine="640"/>
        <w:rPr>
          <w:rFonts w:ascii="仿宋_GB2312" w:hAnsi="仿宋_GB2312" w:eastAsia="仿宋_GB2312" w:cs="仿宋_GB2312"/>
          <w:b w:val="0"/>
          <w:bCs/>
          <w:szCs w:val="32"/>
        </w:rPr>
        <w:sectPr>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docGrid w:linePitch="312" w:charSpace="0"/>
        </w:sectPr>
      </w:pPr>
      <w:r>
        <w:rPr>
          <w:rFonts w:hint="eastAsia" w:ascii="仿宋_GB2312" w:hAnsi="仿宋_GB2312" w:eastAsia="仿宋_GB2312" w:cs="仿宋_GB2312"/>
          <w:b w:val="0"/>
          <w:bCs/>
          <w:szCs w:val="32"/>
        </w:rPr>
        <w:t>对处于水源涵养区、水土流失区、生物多样性保护区、生态环境脆弱区、以及自然灾害频发地区的村庄，或因大型项目需要搬迁的村庄，可实施村庄搬迁撤并，统筹解决村民生计、生态保护等问题。对于人口流失特别严重、已经不具备发展条件的村庄，实施搬迁撤并措施，统一安排到新的居住点生活。拟搬迁撤并的村庄，严格限制新建、扩建活动，通过复垦或还绿，增加乡村生产生态空间。</w:t>
      </w:r>
    </w:p>
    <w:p>
      <w:pPr>
        <w:overflowPunct w:val="0"/>
        <w:spacing w:line="360" w:lineRule="auto"/>
        <w:ind w:firstLine="0" w:firstLineChars="0"/>
        <w:jc w:val="center"/>
        <w:rPr>
          <w:rFonts w:eastAsia="宋体"/>
          <w:b w:val="0"/>
          <w:bCs/>
          <w:w w:val="90"/>
          <w:sz w:val="22"/>
        </w:rPr>
      </w:pPr>
      <w:bookmarkStart w:id="95" w:name="_Toc7946122"/>
      <w:r>
        <w:rPr>
          <w:rFonts w:eastAsia="宋体"/>
          <w:b w:val="0"/>
          <w:bCs/>
          <w:w w:val="90"/>
          <w:sz w:val="22"/>
        </w:rPr>
        <w:t>表3-</w:t>
      </w:r>
      <w:r>
        <w:rPr>
          <w:rFonts w:hint="eastAsia" w:eastAsia="宋体"/>
          <w:b w:val="0"/>
          <w:bCs/>
          <w:w w:val="90"/>
          <w:sz w:val="22"/>
        </w:rPr>
        <w:t>2-</w:t>
      </w:r>
      <w:r>
        <w:rPr>
          <w:rFonts w:eastAsia="宋体"/>
          <w:b w:val="0"/>
          <w:bCs/>
          <w:w w:val="90"/>
          <w:sz w:val="22"/>
        </w:rPr>
        <w:t>1</w:t>
      </w:r>
      <w:r>
        <w:rPr>
          <w:rFonts w:hint="eastAsia" w:eastAsia="宋体"/>
          <w:b w:val="0"/>
          <w:bCs/>
          <w:w w:val="90"/>
          <w:sz w:val="22"/>
        </w:rPr>
        <w:t>：</w:t>
      </w:r>
      <w:r>
        <w:rPr>
          <w:rFonts w:eastAsia="宋体"/>
          <w:b w:val="0"/>
          <w:bCs/>
          <w:w w:val="90"/>
          <w:sz w:val="22"/>
        </w:rPr>
        <w:t>集聚提升类村庄发展引导</w:t>
      </w:r>
      <w:r>
        <w:rPr>
          <w:rFonts w:hint="eastAsia" w:eastAsia="宋体"/>
          <w:b w:val="0"/>
          <w:bCs/>
          <w:w w:val="90"/>
          <w:sz w:val="22"/>
        </w:rPr>
        <w:t>及实施计划</w:t>
      </w:r>
    </w:p>
    <w:tbl>
      <w:tblPr>
        <w:tblStyle w:val="16"/>
        <w:tblW w:w="137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579"/>
        <w:gridCol w:w="764"/>
        <w:gridCol w:w="1104"/>
        <w:gridCol w:w="970"/>
        <w:gridCol w:w="2482"/>
        <w:gridCol w:w="1800"/>
        <w:gridCol w:w="1822"/>
        <w:gridCol w:w="2073"/>
        <w:gridCol w:w="21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70" w:hRule="atLeast"/>
          <w:jc w:val="center"/>
        </w:trPr>
        <w:tc>
          <w:tcPr>
            <w:tcW w:w="579" w:type="dxa"/>
            <w:vMerge w:val="restart"/>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类别</w:t>
            </w:r>
          </w:p>
        </w:tc>
        <w:tc>
          <w:tcPr>
            <w:tcW w:w="764" w:type="dxa"/>
            <w:vMerge w:val="restart"/>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ascii="宋体" w:hAnsi="宋体" w:eastAsia="宋体" w:cs="Times New Roman"/>
                <w:b w:val="0"/>
                <w:bCs/>
                <w:sz w:val="18"/>
                <w:szCs w:val="18"/>
              </w:rPr>
              <w:t>定义</w:t>
            </w:r>
          </w:p>
        </w:tc>
        <w:tc>
          <w:tcPr>
            <w:tcW w:w="1104" w:type="dxa"/>
            <w:vMerge w:val="restart"/>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ascii="宋体" w:hAnsi="宋体" w:eastAsia="宋体" w:cs="Times New Roman"/>
                <w:b w:val="0"/>
                <w:bCs/>
                <w:sz w:val="18"/>
                <w:szCs w:val="18"/>
              </w:rPr>
              <w:t>发展引导</w:t>
            </w:r>
          </w:p>
        </w:tc>
        <w:tc>
          <w:tcPr>
            <w:tcW w:w="970" w:type="dxa"/>
            <w:vMerge w:val="restart"/>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ascii="宋体" w:hAnsi="宋体" w:eastAsia="宋体" w:cs="Times New Roman"/>
                <w:b w:val="0"/>
                <w:bCs/>
                <w:sz w:val="18"/>
                <w:szCs w:val="18"/>
              </w:rPr>
              <w:t>镇</w:t>
            </w:r>
            <w:r>
              <w:rPr>
                <w:rFonts w:hint="eastAsia" w:ascii="宋体" w:hAnsi="宋体" w:eastAsia="宋体" w:cs="Times New Roman"/>
                <w:b w:val="0"/>
                <w:bCs/>
                <w:sz w:val="18"/>
                <w:szCs w:val="18"/>
              </w:rPr>
              <w:t>名</w:t>
            </w:r>
          </w:p>
        </w:tc>
        <w:tc>
          <w:tcPr>
            <w:tcW w:w="2482" w:type="dxa"/>
            <w:vMerge w:val="restart"/>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ascii="宋体" w:hAnsi="宋体" w:eastAsia="宋体" w:cs="Times New Roman"/>
                <w:b w:val="0"/>
                <w:bCs/>
                <w:sz w:val="18"/>
                <w:szCs w:val="18"/>
              </w:rPr>
              <w:t>行政村</w:t>
            </w:r>
          </w:p>
        </w:tc>
        <w:tc>
          <w:tcPr>
            <w:tcW w:w="7848" w:type="dxa"/>
            <w:gridSpan w:val="4"/>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实施计划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jc w:val="center"/>
        </w:trPr>
        <w:tc>
          <w:tcPr>
            <w:tcW w:w="579" w:type="dxa"/>
            <w:vMerge w:val="continue"/>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p>
        </w:tc>
        <w:tc>
          <w:tcPr>
            <w:tcW w:w="764" w:type="dxa"/>
            <w:vMerge w:val="continue"/>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p>
        </w:tc>
        <w:tc>
          <w:tcPr>
            <w:tcW w:w="1104" w:type="dxa"/>
            <w:vMerge w:val="continue"/>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p>
        </w:tc>
        <w:tc>
          <w:tcPr>
            <w:tcW w:w="970" w:type="dxa"/>
            <w:vMerge w:val="continue"/>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p>
        </w:tc>
        <w:tc>
          <w:tcPr>
            <w:tcW w:w="2482" w:type="dxa"/>
            <w:vMerge w:val="continue"/>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p>
        </w:tc>
        <w:tc>
          <w:tcPr>
            <w:tcW w:w="1800" w:type="dxa"/>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2019年</w:t>
            </w:r>
          </w:p>
        </w:tc>
        <w:tc>
          <w:tcPr>
            <w:tcW w:w="1822" w:type="dxa"/>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2020年</w:t>
            </w:r>
          </w:p>
        </w:tc>
        <w:tc>
          <w:tcPr>
            <w:tcW w:w="2073" w:type="dxa"/>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2021年</w:t>
            </w:r>
          </w:p>
        </w:tc>
        <w:tc>
          <w:tcPr>
            <w:tcW w:w="2153" w:type="dxa"/>
            <w:tcBorders>
              <w:top w:val="single" w:color="auto" w:sz="4" w:space="0"/>
              <w:left w:val="single" w:color="auto" w:sz="4" w:space="0"/>
              <w:bottom w:val="single" w:color="auto" w:sz="4" w:space="0"/>
              <w:right w:val="single" w:color="auto" w:sz="4" w:space="0"/>
            </w:tcBorders>
            <w:shd w:val="pct40"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8"/>
                <w:szCs w:val="18"/>
              </w:rPr>
              <w:t>2022年及以后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 w:hRule="atLeast"/>
          <w:jc w:val="center"/>
        </w:trPr>
        <w:tc>
          <w:tcPr>
            <w:tcW w:w="579" w:type="dxa"/>
            <w:vMerge w:val="restart"/>
            <w:tcBorders>
              <w:top w:val="single" w:color="auto" w:sz="4" w:space="0"/>
              <w:tl2br w:val="nil"/>
              <w:tr2bl w:val="nil"/>
            </w:tcBorders>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ascii="宋体" w:hAnsi="宋体" w:eastAsia="宋体" w:cs="Times New Roman"/>
                <w:b w:val="0"/>
                <w:bCs/>
                <w:sz w:val="18"/>
                <w:szCs w:val="18"/>
              </w:rPr>
              <w:t>集聚提升类村庄</w:t>
            </w:r>
            <w:r>
              <w:rPr>
                <w:rFonts w:hint="eastAsia" w:ascii="宋体" w:hAnsi="宋体" w:eastAsia="宋体" w:cs="Times New Roman"/>
                <w:b w:val="0"/>
                <w:bCs/>
                <w:sz w:val="18"/>
                <w:szCs w:val="18"/>
              </w:rPr>
              <w:t>（58个）</w:t>
            </w:r>
          </w:p>
        </w:tc>
        <w:tc>
          <w:tcPr>
            <w:tcW w:w="764" w:type="dxa"/>
            <w:vMerge w:val="restart"/>
            <w:tcBorders>
              <w:top w:val="single" w:color="auto" w:sz="4" w:space="0"/>
              <w:tl2br w:val="nil"/>
              <w:tr2bl w:val="nil"/>
            </w:tcBorders>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hint="eastAsia" w:ascii="宋体" w:hAnsi="宋体" w:eastAsia="宋体" w:cs="Times New Roman"/>
                <w:b w:val="0"/>
                <w:bCs/>
                <w:sz w:val="18"/>
                <w:szCs w:val="18"/>
              </w:rPr>
              <w:t>自然条件较好、</w:t>
            </w:r>
            <w:r>
              <w:rPr>
                <w:rFonts w:ascii="宋体" w:hAnsi="宋体" w:eastAsia="宋体" w:cs="Times New Roman"/>
                <w:b w:val="0"/>
                <w:bCs/>
                <w:sz w:val="18"/>
                <w:szCs w:val="18"/>
              </w:rPr>
              <w:t>现有规模较大</w:t>
            </w:r>
            <w:r>
              <w:rPr>
                <w:rFonts w:hint="eastAsia" w:ascii="宋体" w:hAnsi="宋体" w:eastAsia="宋体" w:cs="Times New Roman"/>
                <w:b w:val="0"/>
                <w:bCs/>
                <w:sz w:val="18"/>
                <w:szCs w:val="18"/>
              </w:rPr>
              <w:t>、人口聚集能力较强</w:t>
            </w:r>
            <w:r>
              <w:rPr>
                <w:rFonts w:ascii="宋体" w:hAnsi="宋体" w:eastAsia="宋体" w:cs="Times New Roman"/>
                <w:b w:val="0"/>
                <w:bCs/>
                <w:sz w:val="18"/>
                <w:szCs w:val="18"/>
              </w:rPr>
              <w:t>的中心村</w:t>
            </w:r>
            <w:r>
              <w:rPr>
                <w:rFonts w:hint="eastAsia" w:ascii="宋体" w:hAnsi="宋体" w:eastAsia="宋体" w:cs="Times New Roman"/>
                <w:b w:val="0"/>
                <w:bCs/>
                <w:sz w:val="18"/>
                <w:szCs w:val="18"/>
              </w:rPr>
              <w:t>和必须保留发展的一般村庄</w:t>
            </w:r>
            <w:r>
              <w:rPr>
                <w:rFonts w:ascii="宋体" w:hAnsi="宋体" w:eastAsia="宋体" w:cs="Times New Roman"/>
                <w:b w:val="0"/>
                <w:bCs/>
                <w:sz w:val="18"/>
                <w:szCs w:val="18"/>
              </w:rPr>
              <w:t>。</w:t>
            </w:r>
          </w:p>
        </w:tc>
        <w:tc>
          <w:tcPr>
            <w:tcW w:w="1104" w:type="dxa"/>
            <w:vMerge w:val="restart"/>
            <w:tcBorders>
              <w:top w:val="single" w:color="auto" w:sz="4" w:space="0"/>
              <w:tl2br w:val="nil"/>
              <w:tr2bl w:val="nil"/>
            </w:tcBorders>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ascii="宋体" w:hAnsi="宋体" w:eastAsia="宋体" w:cs="Times New Roman"/>
                <w:b w:val="0"/>
                <w:bCs/>
                <w:sz w:val="18"/>
                <w:szCs w:val="18"/>
              </w:rPr>
              <w:t>作为乡村振兴的主要阵地，完善基础设施、配套</w:t>
            </w:r>
            <w:r>
              <w:rPr>
                <w:rFonts w:hint="eastAsia" w:ascii="宋体" w:hAnsi="宋体" w:eastAsia="宋体" w:cs="Times New Roman"/>
                <w:b w:val="0"/>
                <w:bCs/>
                <w:sz w:val="18"/>
                <w:szCs w:val="18"/>
              </w:rPr>
              <w:t>公共</w:t>
            </w:r>
            <w:r>
              <w:rPr>
                <w:rFonts w:ascii="宋体" w:hAnsi="宋体" w:eastAsia="宋体" w:cs="Times New Roman"/>
                <w:b w:val="0"/>
                <w:bCs/>
                <w:sz w:val="18"/>
                <w:szCs w:val="18"/>
              </w:rPr>
              <w:t>服务，大力发展农村产业，推进组织管理现代化。</w:t>
            </w:r>
          </w:p>
        </w:tc>
        <w:tc>
          <w:tcPr>
            <w:tcW w:w="970" w:type="dxa"/>
            <w:tcBorders>
              <w:top w:val="single" w:color="auto" w:sz="4" w:space="0"/>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城关镇</w:t>
            </w:r>
          </w:p>
        </w:tc>
        <w:tc>
          <w:tcPr>
            <w:tcW w:w="2482" w:type="dxa"/>
            <w:tcBorders>
              <w:top w:val="single" w:color="auto" w:sz="4" w:space="0"/>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青中村、双坪村、塘么子沟村</w:t>
            </w:r>
          </w:p>
        </w:tc>
        <w:tc>
          <w:tcPr>
            <w:tcW w:w="1800" w:type="dxa"/>
            <w:tcBorders>
              <w:top w:val="single" w:color="auto" w:sz="4" w:space="0"/>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青中村</w:t>
            </w:r>
          </w:p>
        </w:tc>
        <w:tc>
          <w:tcPr>
            <w:tcW w:w="1822" w:type="dxa"/>
            <w:tcBorders>
              <w:top w:val="single" w:color="auto" w:sz="4" w:space="0"/>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双坪村</w:t>
            </w:r>
          </w:p>
        </w:tc>
        <w:tc>
          <w:tcPr>
            <w:tcW w:w="2073" w:type="dxa"/>
            <w:tcBorders>
              <w:top w:val="single" w:color="auto" w:sz="4" w:space="0"/>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塘么子沟村、双坪村</w:t>
            </w:r>
          </w:p>
        </w:tc>
        <w:tc>
          <w:tcPr>
            <w:tcW w:w="2153" w:type="dxa"/>
            <w:tcBorders>
              <w:top w:val="single" w:color="auto" w:sz="4" w:space="0"/>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 xml:space="preserve">塘么子沟村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9"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大坝村、双柳村、两河村、关庙村、八庙村、朝阳村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双柳村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大坝村、双柳村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两河村、关庙村、大坝村、    八庙村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朝阳村、两河村、关庙村、   八庙村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金石村、改革村、森林村、</w:t>
            </w:r>
            <w:r>
              <w:rPr>
                <w:rFonts w:hint="eastAsia" w:ascii="宋体" w:hAnsi="宋体" w:cs="Times New Roman" w:eastAsiaTheme="minorEastAsia"/>
                <w:b w:val="0"/>
                <w:bCs/>
                <w:sz w:val="15"/>
                <w:szCs w:val="15"/>
              </w:rPr>
              <w:t>金竹村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金石村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改革村、金石村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森林村、改革村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cs="Times New Roman" w:eastAsiaTheme="minorEastAsia"/>
                <w:b w:val="0"/>
                <w:bCs/>
                <w:sz w:val="15"/>
                <w:szCs w:val="15"/>
              </w:rPr>
              <w:t>金竹村、</w:t>
            </w:r>
            <w:r>
              <w:rPr>
                <w:rFonts w:hint="eastAsia" w:ascii="宋体" w:hAnsi="宋体" w:eastAsia="宋体" w:cs="Times New Roman"/>
                <w:b w:val="0"/>
                <w:bCs/>
                <w:sz w:val="15"/>
                <w:szCs w:val="15"/>
              </w:rPr>
              <w:t>森林村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5"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向阳镇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芭蕉村、天生桥村、贾坪村、      址凤村</w:t>
            </w:r>
            <w:r>
              <w:rPr>
                <w:rFonts w:hint="eastAsia" w:ascii="宋体" w:hAnsi="宋体" w:cs="Times New Roman" w:eastAsiaTheme="minorEastAsia"/>
                <w:b w:val="0"/>
                <w:bCs/>
                <w:sz w:val="15"/>
                <w:szCs w:val="15"/>
              </w:rPr>
              <w:t>、</w:t>
            </w:r>
            <w:r>
              <w:rPr>
                <w:rFonts w:hint="eastAsia" w:ascii="宋体" w:hAnsi="宋体" w:eastAsia="宋体" w:cs="Times New Roman"/>
                <w:b w:val="0"/>
                <w:bCs/>
                <w:sz w:val="15"/>
                <w:szCs w:val="15"/>
              </w:rPr>
              <w:t>钟林村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贾坪村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芭蕉村、址凤村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芭蕉村、址凤村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钟林村、天生桥村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30"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毛坝镇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观音村、鲁家村、腰庄村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观音村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鲁家村、观音村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腰庄村、鲁家村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腰庄村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4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高桥镇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龙潭村、铁佛村、权河村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权河村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权河村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龙潭村、铁佛村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龙潭村、铁佛村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532"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双安镇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闹热村、白马村、 廖家河村、     闹河村、三元村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白马村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闹热村、白马村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闹河村、廖家河村、闹热村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三元村、闹河村、廖家河村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前河村、马家庄村、田榜村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前河村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前河村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马家庄村、田榜村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马家庄村、田榜村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红椿镇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尚坝村、共和村、候家坪村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尚坝村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尚坝村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候家坪村、共和村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候家坪村、共和村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双桥镇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苗河村、六河村、四坪村、莲花村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苗河村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六河村、苗河村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四坪村、六河村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莲花村、四坪村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汉王镇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五郎坪村、马家营村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五郎坪村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五郎坪村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马家营村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马家营村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9"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松河村、苗溪村、春堰村、黑龙村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春堰村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苗溪村、春堰村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松河村、苗溪村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黑龙村、松河村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2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东木镇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麦坪村、军农村、木王村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木王村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木王村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军农村、麦坪村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军农村、麦坪村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洄水镇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小河村、桦栎村、庙沟村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桦栎村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桦栎村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庙沟村、小河村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庙沟村、小河村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2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瓦庙镇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堰塘村、庙坝村、新华村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新华村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新华村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堰塘村、庙坝村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堰塘村、庙坝村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2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染房村、赵溪村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染房村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染房村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赵溪村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宋体" w:eastAsia="宋体" w:cs="Times New Roman"/>
                <w:b w:val="0"/>
                <w:bCs/>
                <w:sz w:val="15"/>
                <w:szCs w:val="15"/>
              </w:rPr>
              <w:t>赵溪村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37" w:hRule="atLeast"/>
          <w:jc w:val="center"/>
        </w:trPr>
        <w:tc>
          <w:tcPr>
            <w:tcW w:w="579"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76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04" w:type="dxa"/>
            <w:vMerge w:val="continue"/>
            <w:tcBorders>
              <w:tl2br w:val="nil"/>
              <w:tr2bl w:val="nil"/>
            </w:tcBorders>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7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界岭镇</w:t>
            </w:r>
          </w:p>
        </w:tc>
        <w:tc>
          <w:tcPr>
            <w:tcW w:w="248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8"/>
                <w:szCs w:val="18"/>
              </w:rPr>
            </w:pPr>
            <w:r>
              <w:rPr>
                <w:rFonts w:hint="eastAsia" w:ascii="宋体" w:hAnsiTheme="minorHAnsi" w:eastAsiaTheme="minorEastAsia"/>
                <w:b w:val="0"/>
                <w:bCs/>
                <w:sz w:val="15"/>
                <w:szCs w:val="15"/>
              </w:rPr>
              <w:t>双明村、金狮村</w:t>
            </w:r>
          </w:p>
        </w:tc>
        <w:tc>
          <w:tcPr>
            <w:tcW w:w="1800"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8"/>
                <w:szCs w:val="18"/>
              </w:rPr>
            </w:pPr>
            <w:r>
              <w:rPr>
                <w:rFonts w:hint="eastAsia" w:ascii="宋体" w:hAnsiTheme="minorHAnsi" w:eastAsiaTheme="minorEastAsia"/>
                <w:b w:val="0"/>
                <w:bCs/>
                <w:sz w:val="15"/>
                <w:szCs w:val="15"/>
              </w:rPr>
              <w:t>双明村</w:t>
            </w:r>
          </w:p>
        </w:tc>
        <w:tc>
          <w:tcPr>
            <w:tcW w:w="1822"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8"/>
                <w:szCs w:val="18"/>
              </w:rPr>
            </w:pPr>
            <w:r>
              <w:rPr>
                <w:rFonts w:hint="eastAsia" w:ascii="宋体" w:hAnsiTheme="minorHAnsi" w:eastAsiaTheme="minorEastAsia"/>
                <w:b w:val="0"/>
                <w:bCs/>
                <w:sz w:val="15"/>
                <w:szCs w:val="15"/>
              </w:rPr>
              <w:t>双明村</w:t>
            </w:r>
          </w:p>
        </w:tc>
        <w:tc>
          <w:tcPr>
            <w:tcW w:w="207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8"/>
                <w:szCs w:val="18"/>
              </w:rPr>
            </w:pPr>
            <w:r>
              <w:rPr>
                <w:rFonts w:hint="eastAsia" w:ascii="宋体" w:hAnsiTheme="minorHAnsi" w:eastAsiaTheme="minorEastAsia"/>
                <w:b w:val="0"/>
                <w:bCs/>
                <w:sz w:val="15"/>
                <w:szCs w:val="15"/>
              </w:rPr>
              <w:t>金狮村</w:t>
            </w:r>
          </w:p>
        </w:tc>
        <w:tc>
          <w:tcPr>
            <w:tcW w:w="2153" w:type="dxa"/>
            <w:tcBorders>
              <w:tl2br w:val="nil"/>
              <w:tr2bl w:val="nil"/>
            </w:tcBorders>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8"/>
                <w:szCs w:val="18"/>
              </w:rPr>
            </w:pPr>
            <w:r>
              <w:rPr>
                <w:rFonts w:hint="eastAsia" w:ascii="宋体" w:hAnsiTheme="minorHAnsi" w:eastAsiaTheme="minorEastAsia"/>
                <w:b w:val="0"/>
                <w:bCs/>
                <w:sz w:val="15"/>
                <w:szCs w:val="15"/>
              </w:rPr>
              <w:t>金狮村</w:t>
            </w:r>
          </w:p>
        </w:tc>
      </w:tr>
    </w:tbl>
    <w:p>
      <w:pPr>
        <w:spacing w:line="240" w:lineRule="auto"/>
        <w:ind w:firstLine="0" w:firstLineChars="0"/>
        <w:rPr>
          <w:rFonts w:asciiTheme="minorHAnsi" w:hAnsiTheme="minorHAnsi" w:eastAsiaTheme="minorEastAsia"/>
          <w:b w:val="0"/>
          <w:bCs/>
          <w:sz w:val="21"/>
        </w:rPr>
      </w:pPr>
    </w:p>
    <w:p>
      <w:pPr>
        <w:overflowPunct w:val="0"/>
        <w:spacing w:line="360" w:lineRule="auto"/>
        <w:ind w:firstLine="0" w:firstLineChars="0"/>
        <w:jc w:val="center"/>
        <w:rPr>
          <w:rFonts w:eastAsia="宋体"/>
          <w:b w:val="0"/>
          <w:bCs/>
          <w:w w:val="90"/>
          <w:sz w:val="22"/>
        </w:rPr>
      </w:pPr>
      <w:r>
        <w:rPr>
          <w:rFonts w:eastAsia="宋体"/>
          <w:b w:val="0"/>
          <w:bCs/>
          <w:w w:val="90"/>
          <w:sz w:val="22"/>
        </w:rPr>
        <w:t>表3-2</w:t>
      </w:r>
      <w:r>
        <w:rPr>
          <w:rFonts w:hint="eastAsia" w:eastAsia="宋体"/>
          <w:b w:val="0"/>
          <w:bCs/>
          <w:w w:val="90"/>
          <w:sz w:val="22"/>
        </w:rPr>
        <w:t>-2：特色保护</w:t>
      </w:r>
      <w:r>
        <w:rPr>
          <w:rFonts w:eastAsia="宋体"/>
          <w:b w:val="0"/>
          <w:bCs/>
          <w:w w:val="90"/>
          <w:sz w:val="22"/>
        </w:rPr>
        <w:t>类村庄发展引导</w:t>
      </w:r>
      <w:r>
        <w:rPr>
          <w:rFonts w:hint="eastAsia" w:eastAsia="宋体"/>
          <w:b w:val="0"/>
          <w:bCs/>
          <w:w w:val="90"/>
          <w:sz w:val="22"/>
        </w:rPr>
        <w:t>及实施计划</w:t>
      </w:r>
    </w:p>
    <w:tbl>
      <w:tblPr>
        <w:tblStyle w:val="16"/>
        <w:tblW w:w="13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50"/>
        <w:gridCol w:w="900"/>
        <w:gridCol w:w="1364"/>
        <w:gridCol w:w="1131"/>
        <w:gridCol w:w="1910"/>
        <w:gridCol w:w="1940"/>
        <w:gridCol w:w="1966"/>
        <w:gridCol w:w="1848"/>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6" w:hRule="atLeast"/>
          <w:jc w:val="center"/>
        </w:trPr>
        <w:tc>
          <w:tcPr>
            <w:tcW w:w="650"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类别</w:t>
            </w:r>
          </w:p>
        </w:tc>
        <w:tc>
          <w:tcPr>
            <w:tcW w:w="900"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定义</w:t>
            </w:r>
          </w:p>
        </w:tc>
        <w:tc>
          <w:tcPr>
            <w:tcW w:w="1364"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发展引导</w:t>
            </w:r>
          </w:p>
        </w:tc>
        <w:tc>
          <w:tcPr>
            <w:tcW w:w="1131"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镇</w:t>
            </w:r>
            <w:r>
              <w:rPr>
                <w:rFonts w:hint="eastAsia" w:ascii="宋体" w:hAnsi="宋体" w:eastAsia="宋体" w:cs="Times New Roman"/>
                <w:b w:val="0"/>
                <w:bCs/>
                <w:sz w:val="20"/>
                <w:szCs w:val="20"/>
              </w:rPr>
              <w:t>名</w:t>
            </w:r>
          </w:p>
        </w:tc>
        <w:tc>
          <w:tcPr>
            <w:tcW w:w="1910"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行政村</w:t>
            </w:r>
          </w:p>
        </w:tc>
        <w:tc>
          <w:tcPr>
            <w:tcW w:w="7626" w:type="dxa"/>
            <w:gridSpan w:val="4"/>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实施计划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50"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900"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364"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131"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910"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940"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2019年</w:t>
            </w:r>
          </w:p>
        </w:tc>
        <w:tc>
          <w:tcPr>
            <w:tcW w:w="1966"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2020年</w:t>
            </w:r>
          </w:p>
        </w:tc>
        <w:tc>
          <w:tcPr>
            <w:tcW w:w="1848"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2021年</w:t>
            </w:r>
          </w:p>
        </w:tc>
        <w:tc>
          <w:tcPr>
            <w:tcW w:w="1872"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2022年及以后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50" w:type="dxa"/>
            <w:vMerge w:val="restart"/>
            <w:shd w:val="clear" w:color="auto" w:fill="FFFFFF" w:themeFill="background1"/>
            <w:vAlign w:val="center"/>
          </w:tcPr>
          <w:p>
            <w:pPr>
              <w:spacing w:line="240" w:lineRule="atLeast"/>
              <w:ind w:firstLine="0" w:firstLineChars="0"/>
              <w:jc w:val="left"/>
              <w:rPr>
                <w:rFonts w:ascii="宋体" w:hAnsi="宋体" w:cs="Times New Roman" w:eastAsiaTheme="minorEastAsia"/>
                <w:b w:val="0"/>
                <w:bCs/>
                <w:sz w:val="18"/>
                <w:szCs w:val="18"/>
              </w:rPr>
            </w:pPr>
            <w:r>
              <w:rPr>
                <w:rFonts w:cs="Times New Roman" w:eastAsiaTheme="minorEastAsia"/>
                <w:b w:val="0"/>
                <w:bCs/>
                <w:sz w:val="18"/>
                <w:szCs w:val="18"/>
              </w:rPr>
              <w:t>特色保护类村庄</w:t>
            </w:r>
            <w:r>
              <w:rPr>
                <w:rFonts w:hint="eastAsia" w:cs="Times New Roman" w:eastAsiaTheme="minorEastAsia"/>
                <w:b w:val="0"/>
                <w:bCs/>
                <w:sz w:val="18"/>
                <w:szCs w:val="18"/>
              </w:rPr>
              <w:t>（19个）</w:t>
            </w:r>
          </w:p>
        </w:tc>
        <w:tc>
          <w:tcPr>
            <w:tcW w:w="900"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cs="Times New Roman" w:eastAsiaTheme="minorEastAsia"/>
                <w:b w:val="0"/>
                <w:bCs/>
                <w:sz w:val="18"/>
                <w:szCs w:val="18"/>
              </w:rPr>
              <w:t>历史文化名村、传统村落、少数民族特色村寨、特色景观旅游名村等自然历史文化特色资源丰富的村庄。</w:t>
            </w:r>
          </w:p>
        </w:tc>
        <w:tc>
          <w:tcPr>
            <w:tcW w:w="1364"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cs="Times New Roman" w:eastAsiaTheme="minorEastAsia"/>
                <w:b w:val="0"/>
                <w:bCs/>
                <w:sz w:val="18"/>
                <w:szCs w:val="18"/>
              </w:rPr>
              <w:t>在保护中开发，在开发中保护，重点做好文物古迹保护、生态修复、民俗文化传承。</w:t>
            </w: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城关镇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新田村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新田村</w:t>
            </w: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新田村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新田村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白鹤村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白鹤村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白鹤村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4"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黄金村、王家河村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黄金村</w:t>
            </w: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黄金村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王家河村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王家河村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6"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向阳镇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营梁村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营梁村</w:t>
            </w: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营梁村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营梁村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营梁村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毛坝镇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竹山村、干沙村、岔河村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竹山村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竹山村、干沙村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岔河村、干沙村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高桥镇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双安镇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桐安村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桐安村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桐安村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菜园村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菜园村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菜园村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红椿镇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40" w:type="dxa"/>
            <w:shd w:val="clear" w:color="auto" w:fill="FFFFFF" w:themeFill="background1"/>
            <w:vAlign w:val="center"/>
          </w:tcPr>
          <w:p>
            <w:pPr>
              <w:widowControl/>
              <w:spacing w:line="240" w:lineRule="auto"/>
              <w:ind w:firstLine="0" w:firstLineChars="0"/>
              <w:jc w:val="center"/>
              <w:rPr>
                <w:rFonts w:ascii="宋体" w:hAnsi="宋体" w:cs="Times New Roman" w:eastAsiaTheme="minorEastAsia"/>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cs="Times New Roman" w:eastAsiaTheme="minorEastAsia"/>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cs="Times New Roman" w:eastAsiaTheme="minorEastAsia"/>
                <w:b w:val="0"/>
                <w:bCs/>
                <w:sz w:val="15"/>
                <w:szCs w:val="15"/>
              </w:rPr>
            </w:pPr>
          </w:p>
        </w:tc>
        <w:tc>
          <w:tcPr>
            <w:tcW w:w="1872" w:type="dxa"/>
            <w:shd w:val="clear" w:color="auto" w:fill="FFFFFF" w:themeFill="background1"/>
            <w:vAlign w:val="center"/>
          </w:tcPr>
          <w:p>
            <w:pPr>
              <w:widowControl/>
              <w:spacing w:line="240" w:lineRule="auto"/>
              <w:ind w:firstLine="0" w:firstLineChars="0"/>
              <w:jc w:val="center"/>
              <w:rPr>
                <w:rFonts w:ascii="宋体" w:hAnsi="宋体" w:cs="Times New Roman" w:eastAsiaTheme="minorEastAsia"/>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双桥镇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汉王镇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安五村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安五村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安五村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安五村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东红村、金塘村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东红村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东红村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金塘村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东木镇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燎原村、三官堂村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三官堂村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三官堂村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燎原村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洄水镇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连桥村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连桥村</w:t>
            </w: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连桥村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瓦庙镇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水磨村</w:t>
            </w:r>
          </w:p>
        </w:tc>
        <w:tc>
          <w:tcPr>
            <w:tcW w:w="194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水磨村</w:t>
            </w:r>
          </w:p>
        </w:tc>
        <w:tc>
          <w:tcPr>
            <w:tcW w:w="1872"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水磨村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90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36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31"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界岭镇</w:t>
            </w:r>
          </w:p>
        </w:tc>
        <w:tc>
          <w:tcPr>
            <w:tcW w:w="191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Theme="minorHAnsi" w:eastAsiaTheme="minorEastAsia"/>
                <w:b w:val="0"/>
                <w:bCs/>
                <w:sz w:val="15"/>
                <w:szCs w:val="15"/>
              </w:rPr>
              <w:t>双泉村</w:t>
            </w:r>
          </w:p>
        </w:tc>
        <w:tc>
          <w:tcPr>
            <w:tcW w:w="1940" w:type="dxa"/>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5"/>
                <w:szCs w:val="15"/>
              </w:rPr>
            </w:pPr>
          </w:p>
        </w:tc>
        <w:tc>
          <w:tcPr>
            <w:tcW w:w="1966" w:type="dxa"/>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5"/>
                <w:szCs w:val="15"/>
              </w:rPr>
            </w:pPr>
          </w:p>
        </w:tc>
        <w:tc>
          <w:tcPr>
            <w:tcW w:w="1848" w:type="dxa"/>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双泉村</w:t>
            </w:r>
          </w:p>
        </w:tc>
        <w:tc>
          <w:tcPr>
            <w:tcW w:w="1872" w:type="dxa"/>
            <w:shd w:val="clear" w:color="auto" w:fill="FFFFFF" w:themeFill="background1"/>
            <w:vAlign w:val="center"/>
          </w:tcPr>
          <w:p>
            <w:pPr>
              <w:widowControl/>
              <w:spacing w:line="240" w:lineRule="auto"/>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双泉村</w:t>
            </w:r>
          </w:p>
        </w:tc>
      </w:tr>
    </w:tbl>
    <w:p>
      <w:pPr>
        <w:widowControl/>
        <w:spacing w:line="240" w:lineRule="auto"/>
        <w:ind w:firstLine="0" w:firstLineChars="0"/>
        <w:jc w:val="left"/>
        <w:rPr>
          <w:rFonts w:eastAsia="宋体" w:cs="Times New Roman"/>
          <w:b w:val="0"/>
          <w:bCs/>
          <w:sz w:val="24"/>
          <w:szCs w:val="21"/>
        </w:rPr>
      </w:pPr>
    </w:p>
    <w:p>
      <w:pPr>
        <w:widowControl/>
        <w:spacing w:line="240" w:lineRule="auto"/>
        <w:ind w:firstLine="0" w:firstLineChars="0"/>
        <w:jc w:val="left"/>
        <w:rPr>
          <w:rFonts w:eastAsia="宋体" w:cs="Times New Roman"/>
          <w:b w:val="0"/>
          <w:bCs/>
          <w:sz w:val="24"/>
          <w:szCs w:val="21"/>
        </w:rPr>
      </w:pPr>
    </w:p>
    <w:p>
      <w:pPr>
        <w:widowControl/>
        <w:spacing w:line="240" w:lineRule="auto"/>
        <w:ind w:firstLine="0" w:firstLineChars="0"/>
        <w:jc w:val="center"/>
        <w:rPr>
          <w:rFonts w:eastAsia="宋体"/>
          <w:b w:val="0"/>
          <w:bCs/>
          <w:w w:val="90"/>
          <w:sz w:val="22"/>
        </w:rPr>
      </w:pPr>
      <w:r>
        <w:rPr>
          <w:rFonts w:eastAsia="宋体"/>
          <w:b w:val="0"/>
          <w:bCs/>
          <w:w w:val="90"/>
          <w:sz w:val="22"/>
        </w:rPr>
        <w:t>表3-</w:t>
      </w:r>
      <w:r>
        <w:rPr>
          <w:rFonts w:hint="eastAsia" w:eastAsia="宋体"/>
          <w:b w:val="0"/>
          <w:bCs/>
          <w:w w:val="90"/>
          <w:sz w:val="22"/>
        </w:rPr>
        <w:t>2-3：城镇辐射</w:t>
      </w:r>
      <w:r>
        <w:rPr>
          <w:rFonts w:eastAsia="宋体"/>
          <w:b w:val="0"/>
          <w:bCs/>
          <w:w w:val="90"/>
          <w:sz w:val="22"/>
        </w:rPr>
        <w:t>类村庄发展引导</w:t>
      </w:r>
      <w:r>
        <w:rPr>
          <w:rFonts w:hint="eastAsia" w:eastAsia="宋体"/>
          <w:b w:val="0"/>
          <w:bCs/>
          <w:w w:val="90"/>
          <w:sz w:val="22"/>
        </w:rPr>
        <w:t>及实施计划</w:t>
      </w:r>
    </w:p>
    <w:tbl>
      <w:tblPr>
        <w:tblStyle w:val="16"/>
        <w:tblW w:w="13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54"/>
        <w:gridCol w:w="845"/>
        <w:gridCol w:w="1176"/>
        <w:gridCol w:w="1176"/>
        <w:gridCol w:w="2640"/>
        <w:gridCol w:w="1643"/>
        <w:gridCol w:w="1822"/>
        <w:gridCol w:w="1628"/>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4"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类别</w:t>
            </w:r>
          </w:p>
        </w:tc>
        <w:tc>
          <w:tcPr>
            <w:tcW w:w="845"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定义</w:t>
            </w:r>
          </w:p>
        </w:tc>
        <w:tc>
          <w:tcPr>
            <w:tcW w:w="1176"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发展引导</w:t>
            </w:r>
          </w:p>
        </w:tc>
        <w:tc>
          <w:tcPr>
            <w:tcW w:w="1176"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镇</w:t>
            </w:r>
            <w:r>
              <w:rPr>
                <w:rFonts w:hint="eastAsia" w:ascii="宋体" w:hAnsi="宋体" w:eastAsia="宋体" w:cs="Times New Roman"/>
                <w:b w:val="0"/>
                <w:bCs/>
                <w:sz w:val="20"/>
                <w:szCs w:val="20"/>
              </w:rPr>
              <w:t>名</w:t>
            </w:r>
          </w:p>
        </w:tc>
        <w:tc>
          <w:tcPr>
            <w:tcW w:w="2640"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行政村</w:t>
            </w:r>
          </w:p>
        </w:tc>
        <w:tc>
          <w:tcPr>
            <w:tcW w:w="6864" w:type="dxa"/>
            <w:gridSpan w:val="4"/>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实施计划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3" w:hRule="atLeast"/>
          <w:jc w:val="center"/>
        </w:trPr>
        <w:tc>
          <w:tcPr>
            <w:tcW w:w="754"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845"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176"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176"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2640"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643"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2019年</w:t>
            </w:r>
          </w:p>
        </w:tc>
        <w:tc>
          <w:tcPr>
            <w:tcW w:w="1822"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2020年</w:t>
            </w:r>
          </w:p>
        </w:tc>
        <w:tc>
          <w:tcPr>
            <w:tcW w:w="1628"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2021年</w:t>
            </w:r>
          </w:p>
        </w:tc>
        <w:tc>
          <w:tcPr>
            <w:tcW w:w="1771"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2022年及以后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754"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hint="eastAsia" w:ascii="宋体" w:hAnsi="宋体" w:eastAsia="宋体" w:cs="Times New Roman"/>
                <w:b w:val="0"/>
                <w:bCs/>
                <w:sz w:val="18"/>
                <w:szCs w:val="18"/>
              </w:rPr>
              <w:t>集镇辐射</w:t>
            </w:r>
            <w:r>
              <w:rPr>
                <w:rFonts w:ascii="宋体" w:hAnsi="宋体" w:eastAsia="宋体" w:cs="Times New Roman"/>
                <w:b w:val="0"/>
                <w:bCs/>
                <w:sz w:val="18"/>
                <w:szCs w:val="18"/>
              </w:rPr>
              <w:t>类村庄</w:t>
            </w:r>
            <w:r>
              <w:rPr>
                <w:rFonts w:hint="eastAsia" w:ascii="宋体" w:hAnsi="宋体" w:eastAsia="宋体" w:cs="Times New Roman"/>
                <w:b w:val="0"/>
                <w:bCs/>
                <w:sz w:val="18"/>
                <w:szCs w:val="18"/>
              </w:rPr>
              <w:t>（40个）</w:t>
            </w:r>
          </w:p>
        </w:tc>
        <w:tc>
          <w:tcPr>
            <w:tcW w:w="845"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hint="eastAsia" w:ascii="宋体" w:hAnsi="宋体" w:eastAsia="宋体" w:cs="Times New Roman"/>
                <w:b w:val="0"/>
                <w:bCs/>
                <w:sz w:val="18"/>
                <w:szCs w:val="18"/>
              </w:rPr>
              <w:t>县城、</w:t>
            </w:r>
            <w:r>
              <w:rPr>
                <w:rFonts w:ascii="宋体" w:hAnsi="宋体" w:eastAsia="宋体" w:cs="Times New Roman"/>
                <w:b w:val="0"/>
                <w:bCs/>
                <w:sz w:val="18"/>
                <w:szCs w:val="18"/>
              </w:rPr>
              <w:t>集镇</w:t>
            </w:r>
            <w:r>
              <w:rPr>
                <w:rFonts w:hint="eastAsia" w:ascii="宋体" w:hAnsi="宋体" w:eastAsia="宋体" w:cs="Times New Roman"/>
                <w:b w:val="0"/>
                <w:bCs/>
                <w:sz w:val="18"/>
                <w:szCs w:val="18"/>
              </w:rPr>
              <w:t>所在地的村及紧邻城镇</w:t>
            </w:r>
            <w:r>
              <w:rPr>
                <w:rFonts w:ascii="宋体" w:hAnsi="宋体" w:eastAsia="宋体" w:cs="Times New Roman"/>
                <w:b w:val="0"/>
                <w:bCs/>
                <w:sz w:val="18"/>
                <w:szCs w:val="18"/>
              </w:rPr>
              <w:t>的村庄。</w:t>
            </w:r>
          </w:p>
        </w:tc>
        <w:tc>
          <w:tcPr>
            <w:tcW w:w="1176"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ascii="宋体" w:hAnsi="宋体" w:eastAsia="宋体" w:cs="Times New Roman"/>
                <w:b w:val="0"/>
                <w:bCs/>
                <w:sz w:val="18"/>
                <w:szCs w:val="18"/>
              </w:rPr>
              <w:t>把村庄发展纳入</w:t>
            </w:r>
            <w:r>
              <w:rPr>
                <w:rFonts w:hint="eastAsia" w:ascii="宋体" w:hAnsi="宋体" w:eastAsia="宋体" w:cs="Times New Roman"/>
                <w:b w:val="0"/>
                <w:bCs/>
                <w:sz w:val="18"/>
                <w:szCs w:val="18"/>
              </w:rPr>
              <w:t>城</w:t>
            </w:r>
            <w:r>
              <w:rPr>
                <w:rFonts w:ascii="宋体" w:hAnsi="宋体" w:eastAsia="宋体" w:cs="Times New Roman"/>
                <w:b w:val="0"/>
                <w:bCs/>
                <w:sz w:val="18"/>
                <w:szCs w:val="18"/>
              </w:rPr>
              <w:t>镇整体发展中，整体规划发展、辐射带动村庄发展。</w:t>
            </w: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城关镇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西门河村、楠木村、太坪村、新桃村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西门河村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太坪村、西门河村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新桃村、太坪村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楠木村、新桃村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三坪村、高滩村、龙湾村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龙湾村、三坪村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龙湾村、三坪村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蒿坪村、东关村、平川村、</w:t>
            </w:r>
            <w:r>
              <w:rPr>
                <w:rFonts w:hint="eastAsia" w:ascii="宋体" w:hAnsi="宋体" w:cs="Times New Roman" w:eastAsiaTheme="minorEastAsia"/>
                <w:b w:val="0"/>
                <w:bCs/>
                <w:sz w:val="15"/>
                <w:szCs w:val="15"/>
              </w:rPr>
              <w:t>双胜村、双星社区</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蒿坪村、</w:t>
            </w:r>
            <w:r>
              <w:rPr>
                <w:rFonts w:hint="eastAsia" w:ascii="宋体" w:hAnsi="宋体" w:cs="Times New Roman" w:eastAsiaTheme="minorEastAsia"/>
                <w:b w:val="0"/>
                <w:bCs/>
                <w:sz w:val="15"/>
                <w:szCs w:val="15"/>
              </w:rPr>
              <w:t>双星社区</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双胜村、</w:t>
            </w:r>
            <w:r>
              <w:rPr>
                <w:rFonts w:hint="eastAsia" w:ascii="宋体" w:hAnsi="宋体" w:eastAsia="宋体" w:cs="Times New Roman"/>
                <w:b w:val="0"/>
                <w:bCs/>
                <w:sz w:val="15"/>
                <w:szCs w:val="15"/>
              </w:rPr>
              <w:t>蒿坪村、双胜村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东关村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平川村、东关村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3"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向阳镇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悬鼓村、月池村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悬鼓村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悬鼓村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月池村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月池村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3"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毛坝镇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瓦滩村、温家坪村、染沟村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染沟村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染沟村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瓦滩村、温家坪村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瓦滩村、温家坪村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3"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高桥镇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双龙村、兰草村、裴坝村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兰草村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兰草村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裴坝村、双龙村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裴坝村、双龙村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6"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双安镇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双河口村、林本河村、四合村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双河口村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双河口村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四合村、林本河村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四合村、林本河村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洞河村、小红光村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小红光村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小红光村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8"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红椿镇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纪家沟村、七里</w:t>
            </w:r>
            <w:r>
              <w:rPr>
                <w:rFonts w:hint="eastAsia" w:ascii="宋体" w:hAnsi="宋体" w:eastAsia="宋体" w:cs="Times New Roman"/>
                <w:b w:val="0"/>
                <w:bCs/>
                <w:sz w:val="15"/>
                <w:szCs w:val="15"/>
              </w:rPr>
              <w:t>村</w:t>
            </w:r>
          </w:p>
        </w:tc>
        <w:tc>
          <w:tcPr>
            <w:tcW w:w="1643"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纪家沟村</w:t>
            </w:r>
          </w:p>
        </w:tc>
        <w:tc>
          <w:tcPr>
            <w:tcW w:w="1822"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纪家沟村</w:t>
            </w:r>
          </w:p>
        </w:tc>
        <w:tc>
          <w:tcPr>
            <w:tcW w:w="1628"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七里</w:t>
            </w:r>
            <w:r>
              <w:rPr>
                <w:rFonts w:hint="eastAsia" w:ascii="宋体" w:hAnsi="宋体" w:eastAsia="宋体" w:cs="Times New Roman"/>
                <w:b w:val="0"/>
                <w:bCs/>
                <w:sz w:val="15"/>
                <w:szCs w:val="15"/>
              </w:rPr>
              <w:t>村</w:t>
            </w:r>
          </w:p>
        </w:tc>
        <w:tc>
          <w:tcPr>
            <w:tcW w:w="1771"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七里</w:t>
            </w:r>
            <w:r>
              <w:rPr>
                <w:rFonts w:hint="eastAsia" w:ascii="宋体" w:hAnsi="宋体" w:eastAsia="宋体" w:cs="Times New Roman"/>
                <w:b w:val="0"/>
                <w:bCs/>
                <w:sz w:val="15"/>
                <w:szCs w:val="15"/>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双桥镇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双河村、庄房村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双河村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庄房村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庄房村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汉王镇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汉城村、农安村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农安村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汉城村、农安村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汉城村、农安村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大连村、焕古村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 xml:space="preserve">大连村 </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 xml:space="preserve">大连村 </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6"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东木镇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月桂村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月桂村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月桂村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洄水镇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茶稻村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茶稻村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茶稻村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茶稻村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瓦庙镇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新房村、新民村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新房村</w:t>
            </w: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新房村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新民村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新民村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麻柳村</w:t>
            </w:r>
          </w:p>
        </w:tc>
        <w:tc>
          <w:tcPr>
            <w:tcW w:w="1643"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82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麻柳村</w:t>
            </w:r>
          </w:p>
        </w:tc>
        <w:tc>
          <w:tcPr>
            <w:tcW w:w="1628"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麻柳村</w:t>
            </w:r>
          </w:p>
        </w:tc>
        <w:tc>
          <w:tcPr>
            <w:tcW w:w="177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1" w:hRule="atLeast"/>
          <w:jc w:val="center"/>
        </w:trPr>
        <w:tc>
          <w:tcPr>
            <w:tcW w:w="754"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84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76"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界岭镇</w:t>
            </w:r>
          </w:p>
        </w:tc>
        <w:tc>
          <w:tcPr>
            <w:tcW w:w="264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Theme="minorEastAsia"/>
                <w:b w:val="0"/>
                <w:bCs/>
                <w:sz w:val="15"/>
                <w:szCs w:val="15"/>
              </w:rPr>
              <w:t>斑桃村、</w:t>
            </w:r>
            <w:r>
              <w:rPr>
                <w:rFonts w:hint="eastAsia" w:ascii="宋体" w:hAnsiTheme="minorHAnsi" w:eastAsiaTheme="minorEastAsia"/>
                <w:b w:val="0"/>
                <w:bCs/>
                <w:sz w:val="15"/>
                <w:szCs w:val="15"/>
              </w:rPr>
              <w:t>新坪垭村</w:t>
            </w:r>
          </w:p>
        </w:tc>
        <w:tc>
          <w:tcPr>
            <w:tcW w:w="1643" w:type="dxa"/>
            <w:shd w:val="clear" w:color="auto" w:fill="FFFFFF" w:themeFill="background1"/>
            <w:vAlign w:val="center"/>
          </w:tcPr>
          <w:p>
            <w:pPr>
              <w:spacing w:line="240" w:lineRule="atLeast"/>
              <w:ind w:firstLine="0" w:firstLineChars="0"/>
              <w:jc w:val="center"/>
              <w:rPr>
                <w:rFonts w:ascii="宋体" w:hAnsi="宋体" w:eastAsiaTheme="minorEastAsia"/>
                <w:b w:val="0"/>
                <w:bCs/>
                <w:sz w:val="15"/>
                <w:szCs w:val="15"/>
              </w:rPr>
            </w:pPr>
            <w:r>
              <w:rPr>
                <w:rFonts w:hint="eastAsia" w:ascii="宋体" w:hAnsi="宋体" w:eastAsiaTheme="minorEastAsia"/>
                <w:b w:val="0"/>
                <w:bCs/>
                <w:sz w:val="15"/>
                <w:szCs w:val="15"/>
              </w:rPr>
              <w:t>斑桃村</w:t>
            </w:r>
          </w:p>
        </w:tc>
        <w:tc>
          <w:tcPr>
            <w:tcW w:w="1822" w:type="dxa"/>
            <w:shd w:val="clear" w:color="auto" w:fill="FFFFFF" w:themeFill="background1"/>
            <w:vAlign w:val="center"/>
          </w:tcPr>
          <w:p>
            <w:pPr>
              <w:spacing w:line="240" w:lineRule="atLeast"/>
              <w:ind w:firstLine="0" w:firstLineChars="0"/>
              <w:jc w:val="center"/>
              <w:rPr>
                <w:rFonts w:ascii="宋体" w:hAnsi="宋体" w:eastAsiaTheme="minorEastAsia"/>
                <w:b w:val="0"/>
                <w:bCs/>
                <w:sz w:val="15"/>
                <w:szCs w:val="15"/>
              </w:rPr>
            </w:pPr>
            <w:r>
              <w:rPr>
                <w:rFonts w:hint="eastAsia" w:ascii="宋体" w:hAnsi="宋体" w:eastAsiaTheme="minorEastAsia"/>
                <w:b w:val="0"/>
                <w:bCs/>
                <w:sz w:val="15"/>
                <w:szCs w:val="15"/>
              </w:rPr>
              <w:t>斑桃村</w:t>
            </w:r>
          </w:p>
        </w:tc>
        <w:tc>
          <w:tcPr>
            <w:tcW w:w="1628" w:type="dxa"/>
            <w:shd w:val="clear" w:color="auto" w:fill="FFFFFF" w:themeFill="background1"/>
            <w:vAlign w:val="center"/>
          </w:tcPr>
          <w:p>
            <w:pPr>
              <w:spacing w:line="240" w:lineRule="atLeast"/>
              <w:ind w:firstLine="0" w:firstLineChars="0"/>
              <w:jc w:val="center"/>
              <w:rPr>
                <w:rFonts w:ascii="宋体" w:hAnsi="宋体" w:eastAsiaTheme="minorEastAsia"/>
                <w:b w:val="0"/>
                <w:bCs/>
                <w:sz w:val="15"/>
                <w:szCs w:val="15"/>
              </w:rPr>
            </w:pPr>
            <w:r>
              <w:rPr>
                <w:rFonts w:hint="eastAsia" w:ascii="宋体" w:hAnsiTheme="minorHAnsi" w:eastAsiaTheme="minorEastAsia"/>
                <w:b w:val="0"/>
                <w:bCs/>
                <w:sz w:val="15"/>
                <w:szCs w:val="15"/>
              </w:rPr>
              <w:t>新坪垭村</w:t>
            </w:r>
          </w:p>
        </w:tc>
        <w:tc>
          <w:tcPr>
            <w:tcW w:w="1771" w:type="dxa"/>
            <w:shd w:val="clear" w:color="auto" w:fill="FFFFFF" w:themeFill="background1"/>
            <w:vAlign w:val="center"/>
          </w:tcPr>
          <w:p>
            <w:pPr>
              <w:spacing w:line="240" w:lineRule="atLeast"/>
              <w:ind w:firstLine="0" w:firstLineChars="0"/>
              <w:jc w:val="center"/>
              <w:rPr>
                <w:rFonts w:ascii="宋体" w:hAnsi="宋体" w:eastAsiaTheme="minorEastAsia"/>
                <w:b w:val="0"/>
                <w:bCs/>
                <w:sz w:val="15"/>
                <w:szCs w:val="15"/>
              </w:rPr>
            </w:pPr>
            <w:r>
              <w:rPr>
                <w:rFonts w:hint="eastAsia" w:ascii="宋体" w:hAnsiTheme="minorHAnsi" w:eastAsiaTheme="minorEastAsia"/>
                <w:b w:val="0"/>
                <w:bCs/>
                <w:sz w:val="15"/>
                <w:szCs w:val="15"/>
              </w:rPr>
              <w:t>新坪垭村</w:t>
            </w:r>
          </w:p>
        </w:tc>
      </w:tr>
    </w:tbl>
    <w:p>
      <w:pPr>
        <w:widowControl/>
        <w:spacing w:line="240" w:lineRule="auto"/>
        <w:ind w:firstLine="0" w:firstLineChars="0"/>
        <w:jc w:val="left"/>
        <w:rPr>
          <w:rFonts w:eastAsia="宋体" w:cs="Times New Roman"/>
          <w:b w:val="0"/>
          <w:bCs/>
          <w:sz w:val="24"/>
          <w:szCs w:val="21"/>
        </w:rPr>
      </w:pPr>
    </w:p>
    <w:p>
      <w:pPr>
        <w:overflowPunct w:val="0"/>
        <w:spacing w:line="360" w:lineRule="auto"/>
        <w:ind w:firstLine="0" w:firstLineChars="0"/>
        <w:jc w:val="center"/>
        <w:rPr>
          <w:rFonts w:eastAsia="宋体"/>
          <w:b w:val="0"/>
          <w:bCs/>
          <w:w w:val="90"/>
          <w:sz w:val="22"/>
        </w:rPr>
      </w:pPr>
      <w:r>
        <w:rPr>
          <w:rFonts w:eastAsia="宋体"/>
          <w:b w:val="0"/>
          <w:bCs/>
          <w:w w:val="90"/>
          <w:sz w:val="22"/>
        </w:rPr>
        <w:t>表3-</w:t>
      </w:r>
      <w:r>
        <w:rPr>
          <w:rFonts w:hint="eastAsia" w:eastAsia="宋体"/>
          <w:b w:val="0"/>
          <w:bCs/>
          <w:w w:val="90"/>
          <w:sz w:val="22"/>
        </w:rPr>
        <w:t>2-4：产业带动</w:t>
      </w:r>
      <w:r>
        <w:rPr>
          <w:rFonts w:eastAsia="宋体"/>
          <w:b w:val="0"/>
          <w:bCs/>
          <w:w w:val="90"/>
          <w:sz w:val="22"/>
        </w:rPr>
        <w:t>类村庄发展引导</w:t>
      </w:r>
      <w:r>
        <w:rPr>
          <w:rFonts w:hint="eastAsia" w:eastAsia="宋体"/>
          <w:b w:val="0"/>
          <w:bCs/>
          <w:w w:val="90"/>
          <w:sz w:val="22"/>
        </w:rPr>
        <w:t>实施计划</w:t>
      </w:r>
    </w:p>
    <w:tbl>
      <w:tblPr>
        <w:tblStyle w:val="16"/>
        <w:tblW w:w="13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08"/>
        <w:gridCol w:w="698"/>
        <w:gridCol w:w="1009"/>
        <w:gridCol w:w="1159"/>
        <w:gridCol w:w="3600"/>
        <w:gridCol w:w="1692"/>
        <w:gridCol w:w="1636"/>
        <w:gridCol w:w="1650"/>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8" w:type="dxa"/>
            <w:vMerge w:val="restart"/>
            <w:shd w:val="pct40" w:color="auto" w:fill="FFFFFF" w:themeFill="background1"/>
            <w:vAlign w:val="center"/>
          </w:tcPr>
          <w:p>
            <w:pPr>
              <w:spacing w:line="240" w:lineRule="atLeast"/>
              <w:ind w:firstLine="0" w:firstLineChars="0"/>
              <w:jc w:val="left"/>
              <w:rPr>
                <w:rFonts w:ascii="宋体" w:hAnsi="宋体" w:eastAsia="宋体" w:cs="Times New Roman"/>
                <w:b w:val="0"/>
                <w:bCs/>
                <w:sz w:val="20"/>
                <w:szCs w:val="20"/>
              </w:rPr>
            </w:pPr>
            <w:r>
              <w:rPr>
                <w:rFonts w:hint="eastAsia" w:ascii="宋体" w:hAnsi="宋体" w:eastAsia="宋体" w:cs="Times New Roman"/>
                <w:b w:val="0"/>
                <w:bCs/>
                <w:sz w:val="20"/>
                <w:szCs w:val="20"/>
              </w:rPr>
              <w:t>类别</w:t>
            </w:r>
          </w:p>
        </w:tc>
        <w:tc>
          <w:tcPr>
            <w:tcW w:w="698"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定义</w:t>
            </w:r>
          </w:p>
        </w:tc>
        <w:tc>
          <w:tcPr>
            <w:tcW w:w="1009"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发展引导</w:t>
            </w:r>
          </w:p>
        </w:tc>
        <w:tc>
          <w:tcPr>
            <w:tcW w:w="1159"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镇</w:t>
            </w:r>
            <w:r>
              <w:rPr>
                <w:rFonts w:hint="eastAsia" w:ascii="宋体" w:hAnsi="宋体" w:eastAsia="宋体" w:cs="Times New Roman"/>
                <w:b w:val="0"/>
                <w:bCs/>
                <w:sz w:val="20"/>
                <w:szCs w:val="20"/>
              </w:rPr>
              <w:t>名</w:t>
            </w:r>
          </w:p>
        </w:tc>
        <w:tc>
          <w:tcPr>
            <w:tcW w:w="3600" w:type="dxa"/>
            <w:vMerge w:val="restart"/>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行政村</w:t>
            </w:r>
          </w:p>
        </w:tc>
        <w:tc>
          <w:tcPr>
            <w:tcW w:w="6777" w:type="dxa"/>
            <w:gridSpan w:val="4"/>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实施计划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atLeast"/>
          <w:jc w:val="center"/>
        </w:trPr>
        <w:tc>
          <w:tcPr>
            <w:tcW w:w="708" w:type="dxa"/>
            <w:vMerge w:val="continue"/>
            <w:shd w:val="pct40" w:color="auto" w:fill="FFFFFF" w:themeFill="background1"/>
            <w:vAlign w:val="center"/>
          </w:tcPr>
          <w:p>
            <w:pPr>
              <w:spacing w:line="240" w:lineRule="atLeast"/>
              <w:ind w:firstLine="0" w:firstLineChars="0"/>
              <w:jc w:val="left"/>
              <w:rPr>
                <w:rFonts w:ascii="宋体" w:hAnsi="宋体" w:eastAsia="宋体" w:cs="Times New Roman"/>
                <w:b w:val="0"/>
                <w:bCs/>
                <w:sz w:val="20"/>
                <w:szCs w:val="20"/>
              </w:rPr>
            </w:pPr>
          </w:p>
        </w:tc>
        <w:tc>
          <w:tcPr>
            <w:tcW w:w="698"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009"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159"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3600" w:type="dxa"/>
            <w:vMerge w:val="continue"/>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692"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2019年</w:t>
            </w:r>
          </w:p>
        </w:tc>
        <w:tc>
          <w:tcPr>
            <w:tcW w:w="1636"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2020年</w:t>
            </w:r>
          </w:p>
        </w:tc>
        <w:tc>
          <w:tcPr>
            <w:tcW w:w="1650"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2021年</w:t>
            </w:r>
          </w:p>
        </w:tc>
        <w:tc>
          <w:tcPr>
            <w:tcW w:w="1799" w:type="dxa"/>
            <w:shd w:val="pct4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2022年及以后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08"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hint="eastAsia" w:ascii="宋体" w:hAnsi="宋体" w:eastAsia="宋体" w:cs="Times New Roman"/>
                <w:b w:val="0"/>
                <w:bCs/>
                <w:sz w:val="18"/>
                <w:szCs w:val="18"/>
              </w:rPr>
              <w:t>产业带动</w:t>
            </w:r>
            <w:r>
              <w:rPr>
                <w:rFonts w:ascii="宋体" w:hAnsi="宋体" w:eastAsia="宋体" w:cs="Times New Roman"/>
                <w:b w:val="0"/>
                <w:bCs/>
                <w:sz w:val="18"/>
                <w:szCs w:val="18"/>
              </w:rPr>
              <w:t>类村庄</w:t>
            </w:r>
            <w:r>
              <w:rPr>
                <w:rFonts w:hint="eastAsia" w:ascii="宋体" w:hAnsi="宋体" w:eastAsia="宋体" w:cs="Times New Roman"/>
                <w:b w:val="0"/>
                <w:bCs/>
                <w:sz w:val="18"/>
                <w:szCs w:val="18"/>
              </w:rPr>
              <w:t>（51个）</w:t>
            </w:r>
          </w:p>
        </w:tc>
        <w:tc>
          <w:tcPr>
            <w:tcW w:w="698"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cs="Times New Roman" w:eastAsiaTheme="minorEastAsia"/>
                <w:b w:val="0"/>
                <w:bCs/>
                <w:sz w:val="18"/>
                <w:szCs w:val="18"/>
              </w:rPr>
              <w:t>产业特色明显，且产业具备一定的规模，围绕产业配套各项设施的村庄。</w:t>
            </w:r>
          </w:p>
        </w:tc>
        <w:tc>
          <w:tcPr>
            <w:tcW w:w="1009"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cs="Times New Roman" w:eastAsiaTheme="minorEastAsia"/>
                <w:b w:val="0"/>
                <w:bCs/>
                <w:sz w:val="18"/>
                <w:szCs w:val="18"/>
              </w:rPr>
              <w:t>大力发</w:t>
            </w:r>
            <w:r>
              <w:rPr>
                <w:rFonts w:cs="Times New Roman" w:asciiTheme="minorEastAsia" w:hAnsiTheme="minorEastAsia" w:eastAsiaTheme="minorEastAsia"/>
                <w:b w:val="0"/>
                <w:bCs/>
                <w:sz w:val="18"/>
                <w:szCs w:val="18"/>
              </w:rPr>
              <w:t>展“一村一品”和“多村一品”，配</w:t>
            </w:r>
            <w:r>
              <w:rPr>
                <w:rFonts w:cs="Times New Roman" w:eastAsiaTheme="minorEastAsia"/>
                <w:b w:val="0"/>
                <w:bCs/>
                <w:sz w:val="18"/>
                <w:szCs w:val="18"/>
              </w:rPr>
              <w:t>套完善产业发展服务体系。</w:t>
            </w: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城关镇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和平村、富家村、大力滩村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和平村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和平村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富家村、大力滩村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富家村、大力滩村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4"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百坝村、万兴村、岩峰村、蓼坝村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百坝村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万兴村、百坝村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蓼坝村、万兴村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岩峰村、蓼坝村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全兴村、兴隆村、狮子沟村</w:t>
            </w:r>
          </w:p>
        </w:tc>
        <w:tc>
          <w:tcPr>
            <w:tcW w:w="1692"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全兴村</w:t>
            </w:r>
          </w:p>
        </w:tc>
        <w:tc>
          <w:tcPr>
            <w:tcW w:w="1636"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全兴村</w:t>
            </w:r>
          </w:p>
        </w:tc>
        <w:tc>
          <w:tcPr>
            <w:tcW w:w="1650"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兴隆村、狮子沟村</w:t>
            </w:r>
          </w:p>
        </w:tc>
        <w:tc>
          <w:tcPr>
            <w:tcW w:w="1799"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兴隆村、狮子沟村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9"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向阳镇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院墙村、</w:t>
            </w:r>
            <w:r>
              <w:rPr>
                <w:rFonts w:hint="eastAsia" w:ascii="宋体" w:hAnsi="宋体" w:cs="Times New Roman" w:eastAsiaTheme="minorEastAsia"/>
                <w:b w:val="0"/>
                <w:bCs/>
                <w:sz w:val="15"/>
                <w:szCs w:val="15"/>
              </w:rPr>
              <w:t>鸡鸣村、江河村、显钟村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江河村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院墙村、</w:t>
            </w:r>
            <w:r>
              <w:rPr>
                <w:rFonts w:hint="eastAsia" w:ascii="宋体" w:hAnsi="宋体" w:cs="Times New Roman" w:eastAsiaTheme="minorEastAsia"/>
                <w:b w:val="0"/>
                <w:bCs/>
                <w:sz w:val="15"/>
                <w:szCs w:val="15"/>
              </w:rPr>
              <w:t>江河村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显钟村、</w:t>
            </w:r>
            <w:r>
              <w:rPr>
                <w:rFonts w:hint="eastAsia" w:ascii="宋体" w:hAnsi="宋体" w:eastAsia="宋体" w:cs="Times New Roman"/>
                <w:b w:val="0"/>
                <w:bCs/>
                <w:sz w:val="15"/>
                <w:szCs w:val="15"/>
              </w:rPr>
              <w:t>院墙村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鸡鸣村、显钟村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6"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毛坝镇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核桃坪村、双新村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双新村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双新村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核桃坪村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核桃坪村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高桥镇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何家堡村、板厂村、深磨村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深磨村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深磨村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板厂村、何家堡村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板厂村、何家堡村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双安镇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沔浴河村、珍珠村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沔浴河村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沔浴河村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珍珠村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珍珠村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红岩村、楸园村、联丰村、香炉村、云峰村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云峰村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红岩村、云峰村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香炉村、红岩村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楸园村、联丰村、香炉村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9"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红椿镇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cs="Times New Roman" w:eastAsiaTheme="minorEastAsia"/>
                <w:b w:val="0"/>
                <w:bCs/>
                <w:sz w:val="15"/>
                <w:szCs w:val="15"/>
              </w:rPr>
              <w:t>大青村、上湾村、民利村、白兔村</w:t>
            </w:r>
          </w:p>
        </w:tc>
        <w:tc>
          <w:tcPr>
            <w:tcW w:w="1692"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 xml:space="preserve"> 白兔村</w:t>
            </w:r>
          </w:p>
        </w:tc>
        <w:tc>
          <w:tcPr>
            <w:tcW w:w="1636"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民利村、白兔村</w:t>
            </w:r>
          </w:p>
        </w:tc>
        <w:tc>
          <w:tcPr>
            <w:tcW w:w="1650"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上湾村、民利村</w:t>
            </w:r>
          </w:p>
        </w:tc>
        <w:tc>
          <w:tcPr>
            <w:tcW w:w="1799" w:type="dxa"/>
            <w:shd w:val="clear" w:color="auto" w:fill="FFFFFF" w:themeFill="background1"/>
            <w:vAlign w:val="center"/>
          </w:tcPr>
          <w:p>
            <w:pPr>
              <w:spacing w:line="240" w:lineRule="atLeast"/>
              <w:ind w:firstLine="0" w:firstLineChars="0"/>
              <w:jc w:val="center"/>
              <w:rPr>
                <w:rFonts w:ascii="宋体" w:hAnsi="宋体" w:cs="Times New Roman" w:eastAsiaTheme="minorEastAsia"/>
                <w:b w:val="0"/>
                <w:bCs/>
                <w:sz w:val="15"/>
                <w:szCs w:val="15"/>
              </w:rPr>
            </w:pPr>
            <w:r>
              <w:rPr>
                <w:rFonts w:hint="eastAsia" w:ascii="宋体" w:hAnsi="宋体" w:cs="Times New Roman" w:eastAsiaTheme="minorEastAsia"/>
                <w:b w:val="0"/>
                <w:bCs/>
                <w:sz w:val="15"/>
                <w:szCs w:val="15"/>
              </w:rPr>
              <w:t>大青村、上湾村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双桥镇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解放村、中良村、东垭村、取宝村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东垭村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中良村、东垭村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取宝村、中良村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解放村、取宝村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汉王镇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西河村、兴塘村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西河村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西河村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兴塘村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兴塘村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东河村、腊竹村、刘家河村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腊竹村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腊竹村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东河村、刘家河村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东河村、刘家河村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东木镇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柏杨村、关庙村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柏杨村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柏杨村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关庙村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关庙村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3"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洄水镇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团堡村、联沟村、端垭村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团堡村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团堡村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联沟村、端垭村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联沟村、端垭村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瓦庙镇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老庄村、瓦房村、新光村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瓦房村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瓦房村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老庄村、新光村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老庄村、新光村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3"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堰碥村、书堰村</w:t>
            </w:r>
          </w:p>
        </w:tc>
        <w:tc>
          <w:tcPr>
            <w:tcW w:w="1692"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书堰村</w:t>
            </w:r>
          </w:p>
        </w:tc>
        <w:tc>
          <w:tcPr>
            <w:tcW w:w="1636"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书堰村</w:t>
            </w:r>
          </w:p>
        </w:tc>
        <w:tc>
          <w:tcPr>
            <w:tcW w:w="165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堰碥村</w:t>
            </w:r>
          </w:p>
        </w:tc>
        <w:tc>
          <w:tcPr>
            <w:tcW w:w="1799"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堰碥村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698"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0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159"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界岭镇</w:t>
            </w:r>
          </w:p>
        </w:tc>
        <w:tc>
          <w:tcPr>
            <w:tcW w:w="3600"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Theme="minorHAnsi" w:eastAsiaTheme="minorEastAsia"/>
                <w:b w:val="0"/>
                <w:bCs/>
                <w:sz w:val="15"/>
                <w:szCs w:val="15"/>
              </w:rPr>
              <w:t>麻园村、松树村</w:t>
            </w:r>
          </w:p>
        </w:tc>
        <w:tc>
          <w:tcPr>
            <w:tcW w:w="1692" w:type="dxa"/>
            <w:shd w:val="clear" w:color="auto" w:fill="FFFFFF" w:themeFill="background1"/>
            <w:vAlign w:val="center"/>
          </w:tcPr>
          <w:p>
            <w:pPr>
              <w:spacing w:line="240" w:lineRule="atLeast"/>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麻园村</w:t>
            </w:r>
          </w:p>
        </w:tc>
        <w:tc>
          <w:tcPr>
            <w:tcW w:w="1636" w:type="dxa"/>
            <w:shd w:val="clear" w:color="auto" w:fill="FFFFFF" w:themeFill="background1"/>
            <w:vAlign w:val="center"/>
          </w:tcPr>
          <w:p>
            <w:pPr>
              <w:spacing w:line="240" w:lineRule="atLeast"/>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麻园村</w:t>
            </w:r>
          </w:p>
        </w:tc>
        <w:tc>
          <w:tcPr>
            <w:tcW w:w="1650" w:type="dxa"/>
            <w:shd w:val="clear" w:color="auto" w:fill="FFFFFF" w:themeFill="background1"/>
            <w:vAlign w:val="center"/>
          </w:tcPr>
          <w:p>
            <w:pPr>
              <w:spacing w:line="240" w:lineRule="atLeast"/>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松树村</w:t>
            </w:r>
          </w:p>
        </w:tc>
        <w:tc>
          <w:tcPr>
            <w:tcW w:w="1799" w:type="dxa"/>
            <w:shd w:val="clear" w:color="auto" w:fill="FFFFFF" w:themeFill="background1"/>
            <w:vAlign w:val="center"/>
          </w:tcPr>
          <w:p>
            <w:pPr>
              <w:spacing w:line="240" w:lineRule="atLeast"/>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松树村</w:t>
            </w:r>
          </w:p>
        </w:tc>
      </w:tr>
    </w:tbl>
    <w:p>
      <w:pPr>
        <w:widowControl/>
        <w:spacing w:line="240" w:lineRule="auto"/>
        <w:ind w:firstLine="0" w:firstLineChars="0"/>
        <w:jc w:val="left"/>
        <w:rPr>
          <w:rFonts w:eastAsia="宋体" w:cs="Times New Roman"/>
          <w:b w:val="0"/>
          <w:bCs/>
          <w:sz w:val="24"/>
          <w:szCs w:val="21"/>
        </w:rPr>
      </w:pPr>
    </w:p>
    <w:p>
      <w:pPr>
        <w:overflowPunct w:val="0"/>
        <w:spacing w:line="360" w:lineRule="auto"/>
        <w:ind w:firstLine="0" w:firstLineChars="0"/>
        <w:jc w:val="center"/>
        <w:rPr>
          <w:rFonts w:eastAsia="宋体"/>
          <w:b w:val="0"/>
          <w:bCs/>
          <w:w w:val="90"/>
          <w:sz w:val="22"/>
        </w:rPr>
      </w:pPr>
      <w:r>
        <w:rPr>
          <w:rFonts w:eastAsia="宋体"/>
          <w:b w:val="0"/>
          <w:bCs/>
          <w:w w:val="90"/>
          <w:sz w:val="22"/>
        </w:rPr>
        <w:t>表3-</w:t>
      </w:r>
      <w:r>
        <w:rPr>
          <w:rFonts w:hint="eastAsia" w:eastAsia="宋体"/>
          <w:b w:val="0"/>
          <w:bCs/>
          <w:w w:val="90"/>
          <w:sz w:val="22"/>
        </w:rPr>
        <w:t>2-5：搬迁撤并</w:t>
      </w:r>
      <w:r>
        <w:rPr>
          <w:rFonts w:eastAsia="宋体"/>
          <w:b w:val="0"/>
          <w:bCs/>
          <w:w w:val="90"/>
          <w:sz w:val="22"/>
        </w:rPr>
        <w:t>类村庄发展引导</w:t>
      </w:r>
      <w:r>
        <w:rPr>
          <w:rFonts w:hint="eastAsia" w:eastAsia="宋体"/>
          <w:b w:val="0"/>
          <w:bCs/>
          <w:w w:val="90"/>
          <w:sz w:val="22"/>
        </w:rPr>
        <w:t>及实施计划</w:t>
      </w:r>
    </w:p>
    <w:tbl>
      <w:tblPr>
        <w:tblStyle w:val="16"/>
        <w:tblW w:w="13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89"/>
        <w:gridCol w:w="1295"/>
        <w:gridCol w:w="1050"/>
        <w:gridCol w:w="1050"/>
        <w:gridCol w:w="2745"/>
        <w:gridCol w:w="1499"/>
        <w:gridCol w:w="1405"/>
        <w:gridCol w:w="1514"/>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vMerge w:val="restart"/>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类别</w:t>
            </w:r>
          </w:p>
        </w:tc>
        <w:tc>
          <w:tcPr>
            <w:tcW w:w="1295" w:type="dxa"/>
            <w:vMerge w:val="restart"/>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定义</w:t>
            </w:r>
          </w:p>
        </w:tc>
        <w:tc>
          <w:tcPr>
            <w:tcW w:w="1050" w:type="dxa"/>
            <w:vMerge w:val="restart"/>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发展引导</w:t>
            </w:r>
          </w:p>
        </w:tc>
        <w:tc>
          <w:tcPr>
            <w:tcW w:w="1050" w:type="dxa"/>
            <w:vMerge w:val="restart"/>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镇</w:t>
            </w:r>
            <w:r>
              <w:rPr>
                <w:rFonts w:hint="eastAsia" w:ascii="宋体" w:hAnsi="宋体" w:eastAsia="宋体" w:cs="Times New Roman"/>
                <w:b w:val="0"/>
                <w:bCs/>
                <w:sz w:val="20"/>
                <w:szCs w:val="20"/>
              </w:rPr>
              <w:t>名</w:t>
            </w:r>
          </w:p>
        </w:tc>
        <w:tc>
          <w:tcPr>
            <w:tcW w:w="2745" w:type="dxa"/>
            <w:vMerge w:val="restart"/>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ascii="宋体" w:hAnsi="宋体" w:eastAsia="宋体" w:cs="Times New Roman"/>
                <w:b w:val="0"/>
                <w:bCs/>
                <w:sz w:val="20"/>
                <w:szCs w:val="20"/>
              </w:rPr>
              <w:t>行政村</w:t>
            </w:r>
          </w:p>
        </w:tc>
        <w:tc>
          <w:tcPr>
            <w:tcW w:w="6869" w:type="dxa"/>
            <w:gridSpan w:val="4"/>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实施计划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9" w:type="dxa"/>
            <w:vMerge w:val="continue"/>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295" w:type="dxa"/>
            <w:vMerge w:val="continue"/>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050" w:type="dxa"/>
            <w:vMerge w:val="continue"/>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050" w:type="dxa"/>
            <w:vMerge w:val="continue"/>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2745" w:type="dxa"/>
            <w:vMerge w:val="continue"/>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p>
        </w:tc>
        <w:tc>
          <w:tcPr>
            <w:tcW w:w="1499" w:type="dxa"/>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2019年</w:t>
            </w:r>
          </w:p>
        </w:tc>
        <w:tc>
          <w:tcPr>
            <w:tcW w:w="1405" w:type="dxa"/>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2020年</w:t>
            </w:r>
          </w:p>
        </w:tc>
        <w:tc>
          <w:tcPr>
            <w:tcW w:w="1514" w:type="dxa"/>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2021年</w:t>
            </w:r>
          </w:p>
        </w:tc>
        <w:tc>
          <w:tcPr>
            <w:tcW w:w="2451" w:type="dxa"/>
            <w:shd w:val="pct30" w:color="auto" w:fill="FFFFFF" w:themeFill="background1"/>
            <w:vAlign w:val="center"/>
          </w:tcPr>
          <w:p>
            <w:pPr>
              <w:spacing w:line="240" w:lineRule="atLeast"/>
              <w:ind w:firstLine="0" w:firstLineChars="0"/>
              <w:jc w:val="center"/>
              <w:rPr>
                <w:rFonts w:ascii="宋体" w:hAnsi="宋体" w:eastAsia="宋体" w:cs="Times New Roman"/>
                <w:b w:val="0"/>
                <w:bCs/>
                <w:sz w:val="20"/>
                <w:szCs w:val="20"/>
              </w:rPr>
            </w:pPr>
            <w:r>
              <w:rPr>
                <w:rFonts w:hint="eastAsia" w:ascii="宋体" w:hAnsi="宋体" w:eastAsia="宋体" w:cs="Times New Roman"/>
                <w:b w:val="0"/>
                <w:bCs/>
                <w:sz w:val="20"/>
                <w:szCs w:val="20"/>
              </w:rPr>
              <w:t>2022年及以后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689"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hint="eastAsia" w:ascii="宋体" w:hAnsi="宋体" w:eastAsia="宋体" w:cs="Times New Roman"/>
                <w:b w:val="0"/>
                <w:bCs/>
                <w:sz w:val="18"/>
                <w:szCs w:val="18"/>
              </w:rPr>
              <w:t>搬迁撤并</w:t>
            </w:r>
            <w:r>
              <w:rPr>
                <w:rFonts w:ascii="宋体" w:hAnsi="宋体" w:eastAsia="宋体" w:cs="Times New Roman"/>
                <w:b w:val="0"/>
                <w:bCs/>
                <w:sz w:val="18"/>
                <w:szCs w:val="18"/>
              </w:rPr>
              <w:t>类村庄</w:t>
            </w:r>
            <w:r>
              <w:rPr>
                <w:rFonts w:hint="eastAsia" w:ascii="宋体" w:hAnsi="宋体" w:eastAsia="宋体" w:cs="Times New Roman"/>
                <w:b w:val="0"/>
                <w:bCs/>
                <w:sz w:val="18"/>
                <w:szCs w:val="18"/>
              </w:rPr>
              <w:t>（8个）</w:t>
            </w:r>
          </w:p>
        </w:tc>
        <w:tc>
          <w:tcPr>
            <w:tcW w:w="1295"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ascii="宋体" w:hAnsi="宋体" w:eastAsia="宋体" w:cs="Times New Roman"/>
                <w:b w:val="0"/>
                <w:bCs/>
                <w:sz w:val="18"/>
                <w:szCs w:val="18"/>
              </w:rPr>
              <w:t>生存条件恶劣、生态环境脆弱、自然灾害频发等地区的村庄、不具备保留价值的空心村、列入城中村改造或农村新型社区建设计划，以及因重大项目需要搬迁的村庄。</w:t>
            </w:r>
          </w:p>
        </w:tc>
        <w:tc>
          <w:tcPr>
            <w:tcW w:w="1050" w:type="dxa"/>
            <w:vMerge w:val="restart"/>
            <w:shd w:val="clear" w:color="auto" w:fill="FFFFFF" w:themeFill="background1"/>
            <w:vAlign w:val="center"/>
          </w:tcPr>
          <w:p>
            <w:pPr>
              <w:spacing w:line="240" w:lineRule="atLeast"/>
              <w:ind w:firstLine="0" w:firstLineChars="0"/>
              <w:jc w:val="left"/>
              <w:rPr>
                <w:rFonts w:ascii="宋体" w:hAnsi="宋体" w:eastAsia="宋体" w:cs="Times New Roman"/>
                <w:b w:val="0"/>
                <w:bCs/>
                <w:sz w:val="18"/>
                <w:szCs w:val="18"/>
              </w:rPr>
            </w:pPr>
            <w:r>
              <w:rPr>
                <w:rFonts w:ascii="宋体" w:hAnsi="宋体" w:eastAsia="宋体" w:cs="Times New Roman"/>
                <w:b w:val="0"/>
                <w:bCs/>
                <w:sz w:val="18"/>
                <w:szCs w:val="18"/>
              </w:rPr>
              <w:t>做好迁入地村民生活生产保障和迁出地生态恢复、土地复垦和建设用地的利用。</w:t>
            </w: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城关镇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全安村、天星村</w:t>
            </w: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全安村、天星村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4"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高滩镇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红庙村、天桥村、牌楼村、文台村</w:t>
            </w: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红庙村、天桥村、牌楼村、文台村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6"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蒿坪镇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6"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向阳镇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3"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毛坝镇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高桥镇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9"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双安镇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洞河镇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石家村</w:t>
            </w: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石家村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红椿镇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6"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双桥镇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汉王镇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焕古镇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东木镇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7"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洄水镇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瓦庙镇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麻柳镇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499"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宋体" w:eastAsia="宋体" w:cs="Times New Roman"/>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689"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295"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vMerge w:val="continue"/>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p>
        </w:tc>
        <w:tc>
          <w:tcPr>
            <w:tcW w:w="1050" w:type="dxa"/>
            <w:shd w:val="clear" w:color="auto" w:fill="FFFFFF" w:themeFill="background1"/>
            <w:vAlign w:val="center"/>
          </w:tcPr>
          <w:p>
            <w:pPr>
              <w:widowControl/>
              <w:spacing w:line="240" w:lineRule="auto"/>
              <w:ind w:firstLine="0" w:firstLineChars="0"/>
              <w:jc w:val="center"/>
              <w:rPr>
                <w:rFonts w:ascii="宋体" w:hAnsi="宋体" w:eastAsia="宋体" w:cs="Times New Roman"/>
                <w:b w:val="0"/>
                <w:bCs/>
                <w:sz w:val="15"/>
                <w:szCs w:val="15"/>
              </w:rPr>
            </w:pPr>
            <w:r>
              <w:rPr>
                <w:rFonts w:hint="eastAsia" w:ascii="宋体" w:hAnsi="宋体" w:eastAsia="宋体" w:cs="Times New Roman"/>
                <w:b w:val="0"/>
                <w:bCs/>
                <w:sz w:val="15"/>
                <w:szCs w:val="15"/>
              </w:rPr>
              <w:t>界岭镇</w:t>
            </w:r>
          </w:p>
        </w:tc>
        <w:tc>
          <w:tcPr>
            <w:tcW w:w="2745" w:type="dxa"/>
            <w:shd w:val="clear" w:color="auto" w:fill="FFFFFF" w:themeFill="background1"/>
            <w:vAlign w:val="center"/>
          </w:tcPr>
          <w:p>
            <w:pPr>
              <w:spacing w:line="240" w:lineRule="atLeast"/>
              <w:ind w:firstLine="0" w:firstLineChars="0"/>
              <w:jc w:val="center"/>
              <w:rPr>
                <w:rFonts w:ascii="宋体" w:hAnsi="宋体" w:eastAsia="宋体" w:cs="Times New Roman"/>
                <w:b w:val="0"/>
                <w:bCs/>
                <w:sz w:val="15"/>
                <w:szCs w:val="15"/>
              </w:rPr>
            </w:pPr>
            <w:r>
              <w:rPr>
                <w:rFonts w:hint="eastAsia" w:ascii="宋体" w:hAnsiTheme="minorHAnsi" w:eastAsiaTheme="minorEastAsia"/>
                <w:b w:val="0"/>
                <w:bCs/>
                <w:sz w:val="15"/>
                <w:szCs w:val="15"/>
              </w:rPr>
              <w:t>箭竹村</w:t>
            </w:r>
          </w:p>
        </w:tc>
        <w:tc>
          <w:tcPr>
            <w:tcW w:w="1499" w:type="dxa"/>
            <w:shd w:val="clear" w:color="auto" w:fill="FFFFFF" w:themeFill="background1"/>
            <w:vAlign w:val="center"/>
          </w:tcPr>
          <w:p>
            <w:pPr>
              <w:spacing w:line="240" w:lineRule="atLeast"/>
              <w:ind w:firstLine="0" w:firstLineChars="0"/>
              <w:jc w:val="left"/>
              <w:rPr>
                <w:rFonts w:ascii="宋体" w:hAnsiTheme="minorHAnsi" w:eastAsiaTheme="minorEastAsia"/>
                <w:b w:val="0"/>
                <w:bCs/>
                <w:sz w:val="15"/>
                <w:szCs w:val="15"/>
              </w:rPr>
            </w:pPr>
          </w:p>
        </w:tc>
        <w:tc>
          <w:tcPr>
            <w:tcW w:w="1405" w:type="dxa"/>
            <w:shd w:val="clear" w:color="auto" w:fill="FFFFFF" w:themeFill="background1"/>
            <w:vAlign w:val="center"/>
          </w:tcPr>
          <w:p>
            <w:pPr>
              <w:spacing w:line="240" w:lineRule="atLeast"/>
              <w:ind w:firstLine="0" w:firstLineChars="0"/>
              <w:jc w:val="left"/>
              <w:rPr>
                <w:rFonts w:ascii="宋体" w:hAnsiTheme="minorHAnsi" w:eastAsiaTheme="minorEastAsia"/>
                <w:b w:val="0"/>
                <w:bCs/>
                <w:sz w:val="15"/>
                <w:szCs w:val="15"/>
              </w:rPr>
            </w:pPr>
          </w:p>
        </w:tc>
        <w:tc>
          <w:tcPr>
            <w:tcW w:w="1514" w:type="dxa"/>
            <w:shd w:val="clear" w:color="auto" w:fill="FFFFFF" w:themeFill="background1"/>
            <w:vAlign w:val="center"/>
          </w:tcPr>
          <w:p>
            <w:pPr>
              <w:spacing w:line="240" w:lineRule="atLeast"/>
              <w:ind w:firstLine="0" w:firstLineChars="0"/>
              <w:jc w:val="left"/>
              <w:rPr>
                <w:rFonts w:ascii="宋体" w:hAnsiTheme="minorHAnsi" w:eastAsiaTheme="minorEastAsia"/>
                <w:b w:val="0"/>
                <w:bCs/>
                <w:sz w:val="15"/>
                <w:szCs w:val="15"/>
              </w:rPr>
            </w:pPr>
          </w:p>
        </w:tc>
        <w:tc>
          <w:tcPr>
            <w:tcW w:w="2451" w:type="dxa"/>
            <w:shd w:val="clear" w:color="auto" w:fill="FFFFFF" w:themeFill="background1"/>
            <w:vAlign w:val="center"/>
          </w:tcPr>
          <w:p>
            <w:pPr>
              <w:spacing w:line="240" w:lineRule="atLeast"/>
              <w:ind w:firstLine="0" w:firstLineChars="0"/>
              <w:jc w:val="center"/>
              <w:rPr>
                <w:rFonts w:ascii="宋体" w:hAnsiTheme="minorHAnsi" w:eastAsiaTheme="minorEastAsia"/>
                <w:b w:val="0"/>
                <w:bCs/>
                <w:sz w:val="15"/>
                <w:szCs w:val="15"/>
              </w:rPr>
            </w:pPr>
            <w:r>
              <w:rPr>
                <w:rFonts w:hint="eastAsia" w:ascii="宋体" w:hAnsiTheme="minorHAnsi" w:eastAsiaTheme="minorEastAsia"/>
                <w:b w:val="0"/>
                <w:bCs/>
                <w:sz w:val="15"/>
                <w:szCs w:val="15"/>
              </w:rPr>
              <w:t>箭竹村</w:t>
            </w:r>
          </w:p>
        </w:tc>
      </w:tr>
    </w:tbl>
    <w:p>
      <w:pPr>
        <w:spacing w:line="240" w:lineRule="auto"/>
        <w:ind w:firstLine="0" w:firstLineChars="0"/>
        <w:rPr>
          <w:rFonts w:asciiTheme="minorHAnsi" w:hAnsiTheme="minorHAnsi" w:eastAsiaTheme="minorEastAsia"/>
          <w:b w:val="0"/>
          <w:bCs/>
          <w:sz w:val="20"/>
          <w:szCs w:val="20"/>
        </w:rPr>
      </w:pPr>
    </w:p>
    <w:p>
      <w:pPr>
        <w:widowControl/>
        <w:ind w:firstLine="643"/>
        <w:jc w:val="left"/>
        <w:rPr>
          <w:rFonts w:ascii="宋体" w:hAnsi="宋体" w:eastAsia="宋体"/>
          <w:b w:val="0"/>
          <w:bCs/>
          <w:szCs w:val="21"/>
        </w:rPr>
        <w:sectPr>
          <w:footerReference r:id="rId16" w:type="first"/>
          <w:footerReference r:id="rId15" w:type="default"/>
          <w:pgSz w:w="16838" w:h="11906" w:orient="landscape"/>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96" w:name="_Toc12549141"/>
      <w:bookmarkStart w:id="97" w:name="_Toc10545828"/>
      <w:bookmarkStart w:id="98" w:name="_Toc7638"/>
      <w:bookmarkStart w:id="99" w:name="_Toc4326"/>
      <w:bookmarkStart w:id="100" w:name="_Toc24335"/>
      <w:bookmarkStart w:id="101" w:name="_Toc15211"/>
      <w:r>
        <w:rPr>
          <w:rFonts w:hint="eastAsia" w:ascii="黑体" w:hAnsi="黑体" w:eastAsia="黑体"/>
          <w:b w:val="0"/>
          <w:bCs/>
          <w:szCs w:val="32"/>
        </w:rPr>
        <w:t xml:space="preserve">第四章 </w:t>
      </w:r>
      <w:bookmarkEnd w:id="95"/>
      <w:bookmarkEnd w:id="96"/>
      <w:bookmarkEnd w:id="97"/>
      <w:r>
        <w:rPr>
          <w:rFonts w:hint="eastAsia" w:ascii="黑体" w:hAnsi="黑体" w:eastAsia="黑体"/>
          <w:b w:val="0"/>
          <w:bCs/>
          <w:szCs w:val="32"/>
        </w:rPr>
        <w:t>打赢脱贫攻坚决战 全面完成乡村振兴优先任务</w:t>
      </w:r>
      <w:bookmarkEnd w:id="98"/>
      <w:bookmarkEnd w:id="99"/>
      <w:bookmarkEnd w:id="100"/>
      <w:bookmarkEnd w:id="101"/>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坚持乡村振兴与脱贫攻坚有机衔接，紧盯贫困村镇，锁定贫困群体，采取更加有力的举措、更加集中的支持、更加精细的工作，深入推进精准扶贫精准脱贫，确保</w:t>
      </w:r>
      <w:r>
        <w:rPr>
          <w:rFonts w:hint="eastAsia" w:ascii="仿宋_GB2312" w:hAnsi="仿宋_GB2312" w:eastAsia="仿宋_GB2312" w:cs="仿宋_GB2312"/>
          <w:b w:val="0"/>
          <w:bCs/>
          <w:szCs w:val="24"/>
        </w:rPr>
        <w:t>2019</w:t>
      </w:r>
      <w:r>
        <w:rPr>
          <w:rFonts w:hint="eastAsia" w:ascii="仿宋_GB2312" w:hAnsi="仿宋_GB2312" w:eastAsia="仿宋_GB2312" w:cs="仿宋_GB2312"/>
          <w:b w:val="0"/>
          <w:bCs/>
          <w:szCs w:val="32"/>
        </w:rPr>
        <w:t>年底前打赢整县脱贫摘帽攻坚决战，为实施乡村振兴战略夯实基础。</w:t>
      </w:r>
    </w:p>
    <w:p>
      <w:pPr>
        <w:ind w:firstLine="640"/>
        <w:outlineLvl w:val="1"/>
        <w:rPr>
          <w:rFonts w:ascii="黑体" w:hAnsi="黑体" w:eastAsia="黑体"/>
          <w:b w:val="0"/>
          <w:bCs/>
        </w:rPr>
      </w:pPr>
      <w:bookmarkStart w:id="102" w:name="_Toc12549142"/>
      <w:bookmarkStart w:id="103" w:name="_Toc1293"/>
      <w:bookmarkStart w:id="104" w:name="_Toc3041"/>
      <w:bookmarkStart w:id="105" w:name="_Toc5943"/>
      <w:bookmarkStart w:id="106" w:name="_Toc31920"/>
      <w:r>
        <w:rPr>
          <w:rFonts w:hint="eastAsia" w:ascii="黑体" w:hAnsi="黑体" w:eastAsia="黑体"/>
          <w:b w:val="0"/>
          <w:bCs/>
        </w:rPr>
        <w:t>一、决战决胜脱贫攻坚</w:t>
      </w:r>
      <w:bookmarkEnd w:id="102"/>
      <w:bookmarkEnd w:id="103"/>
      <w:bookmarkEnd w:id="104"/>
      <w:bookmarkEnd w:id="105"/>
      <w:bookmarkEnd w:id="106"/>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保持脱贫攻坚工作目标不变、靶心不散、频道不换，根据“</w:t>
      </w:r>
      <w:r>
        <w:rPr>
          <w:rFonts w:hint="eastAsia" w:ascii="仿宋_GB2312" w:hAnsi="仿宋_GB2312" w:eastAsia="仿宋_GB2312" w:cs="仿宋_GB2312"/>
          <w:b w:val="0"/>
          <w:bCs/>
          <w:szCs w:val="24"/>
        </w:rPr>
        <w:t>576</w:t>
      </w:r>
      <w:r>
        <w:rPr>
          <w:rFonts w:hint="eastAsia" w:ascii="仿宋_GB2312" w:hAnsi="仿宋_GB2312" w:eastAsia="仿宋_GB2312" w:cs="仿宋_GB2312"/>
          <w:b w:val="0"/>
          <w:bCs/>
          <w:szCs w:val="32"/>
        </w:rPr>
        <w:t>”退出标准，把解决贫困群众的生产生活问题作为各级党委、政府的首要之责，按照“八个聚力”“八个全面”“六个精准”要求，集中人力、物力、财力投身扶贫帮困，确保到2019年底，实现</w:t>
      </w:r>
      <w:r>
        <w:rPr>
          <w:rFonts w:hint="eastAsia" w:ascii="仿宋_GB2312" w:hAnsi="仿宋_GB2312" w:eastAsia="仿宋_GB2312" w:cs="仿宋_GB2312"/>
          <w:b w:val="0"/>
          <w:bCs/>
          <w:szCs w:val="24"/>
        </w:rPr>
        <w:t>5.87</w:t>
      </w:r>
      <w:r>
        <w:rPr>
          <w:rFonts w:hint="eastAsia" w:ascii="仿宋_GB2312" w:hAnsi="仿宋_GB2312" w:eastAsia="仿宋_GB2312" w:cs="仿宋_GB2312"/>
          <w:b w:val="0"/>
          <w:bCs/>
          <w:szCs w:val="32"/>
        </w:rPr>
        <w:t>万贫困人口脱贫，</w:t>
      </w:r>
      <w:r>
        <w:rPr>
          <w:rFonts w:hint="eastAsia" w:ascii="仿宋_GB2312" w:hAnsi="仿宋_GB2312" w:eastAsia="仿宋_GB2312" w:cs="仿宋_GB2312"/>
          <w:b w:val="0"/>
          <w:bCs/>
          <w:szCs w:val="24"/>
        </w:rPr>
        <w:t>116</w:t>
      </w:r>
      <w:r>
        <w:rPr>
          <w:rFonts w:hint="eastAsia" w:ascii="仿宋_GB2312" w:hAnsi="仿宋_GB2312" w:eastAsia="仿宋_GB2312" w:cs="仿宋_GB2312"/>
          <w:b w:val="0"/>
          <w:bCs/>
          <w:szCs w:val="32"/>
        </w:rPr>
        <w:t>个贫困村出列，各项指标全部达到贫困县脱贫退出标准，高质量实现整县摘帽、全面小康目标。</w:t>
      </w:r>
    </w:p>
    <w:tbl>
      <w:tblPr>
        <w:tblStyle w:val="16"/>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8628" w:type="dxa"/>
            <w:shd w:val="clear" w:color="auto" w:fill="D0CECE" w:themeFill="background2" w:themeFillShade="E6"/>
            <w:vAlign w:val="center"/>
          </w:tcPr>
          <w:p>
            <w:pPr>
              <w:widowControl/>
              <w:spacing w:line="240" w:lineRule="auto"/>
              <w:ind w:firstLine="0" w:firstLineChars="0"/>
              <w:jc w:val="center"/>
              <w:textAlignment w:val="center"/>
              <w:rPr>
                <w:rFonts w:ascii="宋体" w:hAnsi="宋体" w:eastAsia="宋体"/>
                <w:b w:val="0"/>
                <w:bCs/>
                <w:sz w:val="24"/>
                <w:szCs w:val="20"/>
              </w:rPr>
            </w:pPr>
            <w:r>
              <w:rPr>
                <w:rFonts w:hint="eastAsia" w:ascii="宋体" w:hAnsi="宋体" w:eastAsia="宋体" w:cs="宋体"/>
                <w:b w:val="0"/>
                <w:bCs/>
                <w:w w:val="90"/>
                <w:kern w:val="0"/>
                <w:sz w:val="24"/>
                <w:szCs w:val="20"/>
              </w:rPr>
              <w:t>专栏</w:t>
            </w:r>
            <w:r>
              <w:rPr>
                <w:rFonts w:ascii="宋体" w:hAnsi="宋体" w:cs="宋体" w:eastAsiaTheme="minorEastAsia"/>
                <w:b w:val="0"/>
                <w:bCs/>
                <w:w w:val="90"/>
                <w:kern w:val="0"/>
                <w:sz w:val="24"/>
                <w:szCs w:val="20"/>
              </w:rPr>
              <w:t xml:space="preserve">1 </w:t>
            </w:r>
            <w:r>
              <w:rPr>
                <w:rFonts w:hint="eastAsia" w:ascii="宋体" w:hAnsi="宋体" w:eastAsia="宋体" w:cs="宋体"/>
                <w:b w:val="0"/>
                <w:bCs/>
                <w:w w:val="90"/>
                <w:kern w:val="0"/>
                <w:sz w:val="24"/>
                <w:szCs w:val="20"/>
              </w:rPr>
              <w:t>推进“八个聚力”实现“八个全面”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28" w:type="dxa"/>
          </w:tcPr>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聚力产业就业，全面确保收入稳定增长。坚持产业、就业同时发力，突出发展茶叶、魔芋、特色林果、畜牧养殖、中药材等主导产业，持续开展以修脚足浴为重点的“五大”免费技能培训，带动贫困家庭实现一人就业、全家脱贫。深化苏陕扶贫协作，承接东部地区产业转移，大力发展新社区工厂，推动就地就近就业。</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聚力“两房”建设，全面实现住房安全。全面完成“十三五”易地扶贫搬迁和农村危房改造任务，统筹解决好贫困户安全住房问题，确保农村贫困人口安全住房比例达到100%。</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聚力教育扶贫，全面阻断贫困代际传递。严格落实控辍保学“双线七长”责任制和困难家庭学生资助政策，确保学龄儿童少年全部就学。扎实推进“双高双普”创建，推动教育优质均衡发展。</w:t>
            </w:r>
          </w:p>
          <w:p>
            <w:pPr>
              <w:spacing w:line="240" w:lineRule="auto"/>
              <w:ind w:firstLine="437"/>
              <w:rPr>
                <w:rFonts w:cs="Times New Roman" w:eastAsiaTheme="minorEastAsia"/>
                <w:b w:val="0"/>
                <w:bCs/>
                <w:w w:val="90"/>
                <w:kern w:val="0"/>
                <w:sz w:val="24"/>
                <w:szCs w:val="20"/>
              </w:rPr>
            </w:pPr>
            <w:r>
              <w:rPr>
                <w:rFonts w:cs="Times New Roman" w:eastAsiaTheme="minorEastAsia"/>
                <w:b w:val="0"/>
                <w:bCs/>
                <w:w w:val="90"/>
                <w:kern w:val="0"/>
                <w:sz w:val="24"/>
                <w:szCs w:val="20"/>
              </w:rPr>
              <w:t>聚力健康扶贫，全面提高医疗保障水平。</w:t>
            </w:r>
            <w:r>
              <w:rPr>
                <w:rFonts w:hint="eastAsia" w:cs="Times New Roman" w:eastAsiaTheme="minorEastAsia"/>
                <w:b w:val="0"/>
                <w:bCs/>
                <w:w w:val="90"/>
                <w:kern w:val="0"/>
                <w:sz w:val="24"/>
                <w:szCs w:val="20"/>
              </w:rPr>
              <w:t>全面落实健康扶贫“四重保障”和“一降低两提高三减免”政策，确保建档立卡贫困人口全部参加农村合疗及大病保险。全面实施“三个一批”行动，实现大病救治率、慢病签约管理服务率、重病兜底保障率达到100%。实施标准化村卫生室建设工程，实现贫困村标准化卫生室全覆盖。</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聚力生态扶贫，全面拓展绿色增收渠道。落实生态护林员政策，做好贫困劳动力生态护林员选聘续聘工作。落实新一轮退耕还林政策，大力实施天然林保护、绿化造林等生态工程，实现绿色增长与农民增收双赢。</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聚力兜底保障，全面织密筑牢民生网底。以政策全覆盖为目标，对特殊困难家庭全面落实兜底保障政策，将符合条件的贫困人口全部纳入农村低保对象，农村特困供养人员实现应保尽保、应兜尽兜。</w:t>
            </w:r>
          </w:p>
          <w:p>
            <w:pPr>
              <w:spacing w:line="240" w:lineRule="auto"/>
              <w:ind w:firstLine="437"/>
              <w:rPr>
                <w:rFonts w:ascii="宋体" w:hAnsi="宋体" w:cs="宋体" w:eastAsiaTheme="minorEastAsia"/>
                <w:b w:val="0"/>
                <w:bCs/>
                <w:w w:val="90"/>
                <w:kern w:val="0"/>
                <w:sz w:val="24"/>
                <w:szCs w:val="20"/>
              </w:rPr>
            </w:pPr>
            <w:r>
              <w:rPr>
                <w:rFonts w:cs="Times New Roman" w:eastAsiaTheme="minorEastAsia"/>
                <w:b w:val="0"/>
                <w:bCs/>
                <w:w w:val="90"/>
                <w:kern w:val="0"/>
                <w:sz w:val="24"/>
                <w:szCs w:val="20"/>
              </w:rPr>
              <w:t>聚力项目建设，全面补齐基础设施短板。</w:t>
            </w:r>
            <w:r>
              <w:rPr>
                <w:rFonts w:hint="eastAsia" w:ascii="宋体" w:hAnsi="宋体" w:cs="宋体" w:eastAsiaTheme="minorEastAsia"/>
                <w:b w:val="0"/>
                <w:bCs/>
                <w:w w:val="90"/>
                <w:kern w:val="0"/>
                <w:sz w:val="24"/>
                <w:szCs w:val="20"/>
              </w:rPr>
              <w:t>加快完善基础设施和公共服务设施，着力补齐基础短板，农村通硬化路、建制村通客车率达到100%；农村集中供水率达到9</w:t>
            </w:r>
            <w:r>
              <w:rPr>
                <w:rFonts w:ascii="宋体" w:hAnsi="宋体" w:cs="宋体" w:eastAsiaTheme="minorEastAsia"/>
                <w:b w:val="0"/>
                <w:bCs/>
                <w:w w:val="90"/>
                <w:kern w:val="0"/>
                <w:sz w:val="24"/>
                <w:szCs w:val="20"/>
              </w:rPr>
              <w:t>5</w:t>
            </w:r>
            <w:r>
              <w:rPr>
                <w:rFonts w:hint="eastAsia" w:ascii="宋体" w:hAnsi="宋体" w:cs="宋体" w:eastAsiaTheme="minorEastAsia"/>
                <w:b w:val="0"/>
                <w:bCs/>
                <w:w w:val="90"/>
                <w:kern w:val="0"/>
                <w:sz w:val="24"/>
                <w:szCs w:val="20"/>
              </w:rPr>
              <w:t>%以上，电力入户率达到100%，贫困村卫生室、活动室、文化活动广场等公共服务设施全面达标。</w:t>
            </w:r>
          </w:p>
          <w:p>
            <w:pPr>
              <w:spacing w:line="240" w:lineRule="auto"/>
              <w:ind w:firstLine="437"/>
              <w:rPr>
                <w:rFonts w:ascii="宋体" w:hAnsi="宋体" w:cs="宋体" w:eastAsiaTheme="minorEastAsia"/>
                <w:b w:val="0"/>
                <w:bCs/>
                <w:w w:val="90"/>
                <w:kern w:val="0"/>
                <w:sz w:val="24"/>
                <w:szCs w:val="20"/>
              </w:rPr>
            </w:pPr>
            <w:r>
              <w:rPr>
                <w:rFonts w:cs="Times New Roman" w:eastAsiaTheme="minorEastAsia"/>
                <w:b w:val="0"/>
                <w:bCs/>
                <w:w w:val="90"/>
                <w:kern w:val="0"/>
                <w:sz w:val="24"/>
                <w:szCs w:val="20"/>
              </w:rPr>
              <w:t>聚力扶</w:t>
            </w:r>
            <w:r>
              <w:rPr>
                <w:rFonts w:hint="eastAsia" w:cs="Times New Roman" w:eastAsiaTheme="minorEastAsia"/>
                <w:b w:val="0"/>
                <w:bCs/>
                <w:w w:val="90"/>
                <w:kern w:val="0"/>
                <w:sz w:val="24"/>
                <w:szCs w:val="20"/>
              </w:rPr>
              <w:t>志</w:t>
            </w:r>
            <w:r>
              <w:rPr>
                <w:rFonts w:cs="Times New Roman" w:eastAsiaTheme="minorEastAsia"/>
                <w:b w:val="0"/>
                <w:bCs/>
                <w:w w:val="90"/>
                <w:kern w:val="0"/>
                <w:sz w:val="24"/>
                <w:szCs w:val="20"/>
              </w:rPr>
              <w:t>扶</w:t>
            </w:r>
            <w:r>
              <w:rPr>
                <w:rFonts w:hint="eastAsia" w:cs="Times New Roman" w:eastAsiaTheme="minorEastAsia"/>
                <w:b w:val="0"/>
                <w:bCs/>
                <w:w w:val="90"/>
                <w:kern w:val="0"/>
                <w:sz w:val="24"/>
                <w:szCs w:val="20"/>
              </w:rPr>
              <w:t>智</w:t>
            </w:r>
            <w:r>
              <w:rPr>
                <w:rFonts w:cs="Times New Roman" w:eastAsiaTheme="minorEastAsia"/>
                <w:b w:val="0"/>
                <w:bCs/>
                <w:w w:val="90"/>
                <w:kern w:val="0"/>
                <w:sz w:val="24"/>
                <w:szCs w:val="20"/>
              </w:rPr>
              <w:t>，全面增强脱贫内生动力。</w:t>
            </w:r>
            <w:r>
              <w:rPr>
                <w:rFonts w:hint="eastAsia" w:ascii="宋体" w:hAnsi="宋体" w:cs="宋体" w:eastAsiaTheme="minorEastAsia"/>
                <w:b w:val="0"/>
                <w:bCs/>
                <w:w w:val="90"/>
                <w:kern w:val="0"/>
                <w:sz w:val="24"/>
                <w:szCs w:val="20"/>
              </w:rPr>
              <w:t>依托各类培训资源，大力开展贫困人口实用技术和技能培训，增强贫困人口脱贫信心和技能。采用生产奖补、劳务补助、设置公益岗位等机制，鼓励贫困人口通过辛勤劳动脱贫致富。</w:t>
            </w:r>
          </w:p>
        </w:tc>
      </w:tr>
    </w:tbl>
    <w:p>
      <w:pPr>
        <w:numPr>
          <w:ilvl w:val="0"/>
          <w:numId w:val="1"/>
        </w:numPr>
        <w:ind w:firstLine="640"/>
        <w:outlineLvl w:val="1"/>
        <w:rPr>
          <w:rFonts w:ascii="黑体" w:hAnsi="黑体" w:eastAsia="黑体"/>
          <w:b w:val="0"/>
          <w:bCs/>
        </w:rPr>
      </w:pPr>
      <w:bookmarkStart w:id="107" w:name="_Toc12549143"/>
      <w:bookmarkStart w:id="108" w:name="_Toc18165"/>
      <w:bookmarkStart w:id="109" w:name="_Toc10545839"/>
      <w:bookmarkStart w:id="110" w:name="_Toc24625"/>
      <w:bookmarkStart w:id="111" w:name="_Toc24607"/>
      <w:bookmarkStart w:id="112" w:name="_Toc26789"/>
      <w:bookmarkStart w:id="113" w:name="_Toc7946133"/>
      <w:r>
        <w:rPr>
          <w:rFonts w:hint="eastAsia" w:ascii="黑体" w:hAnsi="黑体" w:eastAsia="黑体"/>
          <w:b w:val="0"/>
          <w:bCs/>
        </w:rPr>
        <w:t>全面完成剩余贫困人口脱贫</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持续推行“支部+X+贫困户”强基工程，聚焦剩余贫困人口，以因残致贫、因病致贫、因学致贫、因劳力致贫等群体为主要帮扶对象，明确对象认定标准，加大政策扶持力度，加强政策衔接，持续推进产业扶贫、健康扶贫、教育扶贫，全面落实社会救助兜底保障政策，加大特殊困难群体关爱帮扶力度、鼓励引导社会力量参与脱贫攻坚，到2020年，确保困难群众脱贫路上“一个都不掉队”。</w:t>
      </w:r>
    </w:p>
    <w:p>
      <w:pPr>
        <w:ind w:firstLine="640"/>
        <w:outlineLvl w:val="1"/>
        <w:rPr>
          <w:rFonts w:ascii="黑体" w:hAnsi="黑体" w:eastAsia="黑体"/>
          <w:b w:val="0"/>
          <w:bCs/>
        </w:rPr>
      </w:pPr>
      <w:r>
        <w:rPr>
          <w:rFonts w:hint="eastAsia" w:ascii="黑体" w:hAnsi="黑体" w:eastAsia="黑体"/>
          <w:b w:val="0"/>
          <w:bCs/>
        </w:rPr>
        <w:t>三、巩固拓展脱贫攻坚成果</w:t>
      </w:r>
      <w:bookmarkEnd w:id="107"/>
      <w:bookmarkEnd w:id="108"/>
      <w:bookmarkEnd w:id="109"/>
      <w:bookmarkEnd w:id="110"/>
      <w:bookmarkEnd w:id="111"/>
      <w:bookmarkEnd w:id="112"/>
      <w:bookmarkEnd w:id="113"/>
    </w:p>
    <w:p>
      <w:pPr>
        <w:overflowPunct w:val="0"/>
        <w:ind w:firstLine="643"/>
        <w:outlineLvl w:val="2"/>
        <w:rPr>
          <w:rFonts w:ascii="楷体" w:hAnsi="楷体" w:eastAsia="楷体"/>
          <w:b w:val="0"/>
          <w:bCs/>
          <w:szCs w:val="24"/>
        </w:rPr>
      </w:pPr>
      <w:r>
        <w:rPr>
          <w:rFonts w:hint="eastAsia" w:ascii="楷体" w:hAnsi="楷体" w:eastAsia="楷体"/>
          <w:b w:val="0"/>
          <w:bCs/>
          <w:szCs w:val="24"/>
        </w:rPr>
        <w:t>（一）统筹整合各方帮扶力量</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充分发挥“八办三组五保障”责任单位职能作用，积极对接高校、国企、医疗机构三大帮扶体系，加强省市定点扶贫和部门驻村帮扶工作，实现帮扶主体多元化、帮扶方式多样化。扎实推进“百企帮百村”社会扶贫行动，引导各类企业、社会组织和成功人士深度参与脱贫攻坚。深化苏陕扶贫协作，加强与常州市新北区多领域合作，努力在劳务协作、产业合作、人才支援、招商引资等方面取得更大实效。</w:t>
      </w:r>
    </w:p>
    <w:p>
      <w:pPr>
        <w:overflowPunct w:val="0"/>
        <w:ind w:firstLine="643"/>
        <w:outlineLvl w:val="2"/>
        <w:rPr>
          <w:rFonts w:ascii="楷体" w:hAnsi="楷体" w:eastAsia="楷体"/>
          <w:b w:val="0"/>
          <w:bCs/>
          <w:szCs w:val="24"/>
        </w:rPr>
      </w:pPr>
      <w:bookmarkStart w:id="114" w:name="_Toc10545841"/>
      <w:bookmarkStart w:id="115" w:name="_Toc12549145"/>
      <w:bookmarkStart w:id="116" w:name="_Toc7946135"/>
      <w:r>
        <w:rPr>
          <w:rFonts w:hint="eastAsia" w:ascii="楷体" w:hAnsi="楷体" w:eastAsia="楷体"/>
          <w:b w:val="0"/>
          <w:bCs/>
          <w:szCs w:val="24"/>
        </w:rPr>
        <w:t>（</w:t>
      </w:r>
      <w:r>
        <w:rPr>
          <w:rFonts w:hint="eastAsia" w:ascii="楷体" w:hAnsi="楷体" w:eastAsia="楷体"/>
          <w:b w:val="0"/>
          <w:bCs/>
          <w:szCs w:val="24"/>
          <w:lang w:eastAsia="zh-CN"/>
        </w:rPr>
        <w:t>二</w:t>
      </w:r>
      <w:r>
        <w:rPr>
          <w:rFonts w:hint="eastAsia" w:ascii="楷体" w:hAnsi="楷体" w:eastAsia="楷体"/>
          <w:b w:val="0"/>
          <w:bCs/>
          <w:szCs w:val="24"/>
        </w:rPr>
        <w:t>）构筑返贫预防长效机制</w:t>
      </w:r>
      <w:bookmarkEnd w:id="114"/>
      <w:bookmarkEnd w:id="115"/>
      <w:bookmarkEnd w:id="116"/>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树立长期扶贫观念，把防止返贫问题摆到扶贫工作的突出位置。根据不同致贫原因，分类制定返贫预防机制。着力改进帮扶方式，采用生产奖补、劳务补助、设置公益岗位等有效举措，鼓励贫困人口通过辛勤劳动脱贫致富，实现由被动脱贫向主动致富转变。</w:t>
      </w:r>
    </w:p>
    <w:p>
      <w:pPr>
        <w:overflowPunct w:val="0"/>
        <w:ind w:firstLine="643"/>
        <w:outlineLvl w:val="2"/>
        <w:rPr>
          <w:rFonts w:ascii="楷体" w:hAnsi="楷体" w:eastAsia="楷体"/>
          <w:b w:val="0"/>
          <w:bCs/>
          <w:szCs w:val="24"/>
        </w:rPr>
      </w:pPr>
      <w:r>
        <w:rPr>
          <w:rFonts w:hint="eastAsia" w:ascii="楷体" w:hAnsi="楷体" w:eastAsia="楷体"/>
          <w:b w:val="0"/>
          <w:bCs/>
          <w:szCs w:val="24"/>
        </w:rPr>
        <w:t>（</w:t>
      </w:r>
      <w:r>
        <w:rPr>
          <w:rFonts w:hint="eastAsia" w:ascii="楷体" w:hAnsi="楷体" w:eastAsia="楷体"/>
          <w:b w:val="0"/>
          <w:bCs/>
          <w:szCs w:val="24"/>
          <w:lang w:eastAsia="zh-CN"/>
        </w:rPr>
        <w:t>三</w:t>
      </w:r>
      <w:r>
        <w:rPr>
          <w:rFonts w:hint="eastAsia" w:ascii="楷体" w:hAnsi="楷体" w:eastAsia="楷体"/>
          <w:b w:val="0"/>
          <w:bCs/>
          <w:szCs w:val="24"/>
        </w:rPr>
        <w:t>）压实成效巩固主体责任</w:t>
      </w:r>
    </w:p>
    <w:p>
      <w:pPr>
        <w:overflowPunct w:val="0"/>
        <w:ind w:firstLine="640"/>
        <w:rPr>
          <w:rFonts w:ascii="仿宋_GB2312" w:hAnsi="仿宋_GB2312" w:eastAsia="仿宋_GB2312" w:cs="仿宋_GB2312"/>
          <w:b w:val="0"/>
          <w:bCs/>
          <w:szCs w:val="32"/>
        </w:rPr>
        <w:sectPr>
          <w:footerReference r:id="rId18" w:type="first"/>
          <w:footerReference r:id="rId17"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117" w:name="_Toc10545846"/>
      <w:bookmarkStart w:id="118" w:name="_Toc12549150"/>
      <w:bookmarkStart w:id="119" w:name="_Toc7946140"/>
      <w:r>
        <w:rPr>
          <w:rFonts w:hint="eastAsia" w:ascii="仿宋_GB2312" w:hAnsi="仿宋_GB2312" w:eastAsia="仿宋_GB2312" w:cs="仿宋_GB2312"/>
          <w:b w:val="0"/>
          <w:bCs/>
          <w:szCs w:val="32"/>
        </w:rPr>
        <w:t>完善“蓝黄红”三单督办管理制度，加大暗访频次和专项督查，主动发现纠正问题，着力解决作风漂浮、工作不力、推进滞后等问题，提高督查的实效性。严格实施考核评价，强化考核结果运用，进一步树导向、严规矩、压责任，推动各项决策部署落地生根。充分运用“三项机制”，让工作扎实、作风过硬、成绩突出的干部得到尊重和荣誉，对表现特别突出的干部优先提拔使用。</w:t>
      </w:r>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120" w:name="_Toc52"/>
      <w:bookmarkStart w:id="121" w:name="_Toc30957"/>
      <w:bookmarkStart w:id="122" w:name="_Toc32544"/>
      <w:bookmarkStart w:id="123" w:name="_Toc22172"/>
      <w:r>
        <w:rPr>
          <w:rFonts w:hint="eastAsia" w:ascii="黑体" w:hAnsi="黑体" w:eastAsia="黑体"/>
          <w:b w:val="0"/>
          <w:bCs/>
          <w:szCs w:val="32"/>
        </w:rPr>
        <w:t xml:space="preserve">第五章 </w:t>
      </w:r>
      <w:bookmarkEnd w:id="117"/>
      <w:bookmarkEnd w:id="118"/>
      <w:bookmarkEnd w:id="119"/>
      <w:r>
        <w:rPr>
          <w:rFonts w:hint="eastAsia" w:ascii="黑体" w:hAnsi="黑体" w:eastAsia="黑体"/>
          <w:b w:val="0"/>
          <w:bCs/>
          <w:szCs w:val="32"/>
        </w:rPr>
        <w:t>加快新旧动能转换 推动乡村特色产业振兴</w:t>
      </w:r>
      <w:bookmarkEnd w:id="120"/>
      <w:bookmarkEnd w:id="121"/>
      <w:bookmarkEnd w:id="122"/>
      <w:bookmarkEnd w:id="123"/>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坚持走质量兴农、绿色兴农、品牌强农之路，深化农业供给侧结构性改革，加快构建“一镇一业一龙头、一村一品一主体、一户一技一项目”的绿色产业发展格局，完善现代富硒农业产业体系、生产体系、经营体系，提高农业创新力、竞争力和全要素生产率。</w:t>
      </w:r>
    </w:p>
    <w:p>
      <w:pPr>
        <w:ind w:firstLine="640"/>
        <w:outlineLvl w:val="1"/>
        <w:rPr>
          <w:rFonts w:ascii="黑体" w:hAnsi="黑体" w:eastAsia="黑体"/>
          <w:b w:val="0"/>
          <w:bCs/>
        </w:rPr>
      </w:pPr>
      <w:bookmarkStart w:id="124" w:name="_Toc10545847"/>
      <w:bookmarkStart w:id="125" w:name="_Toc29197"/>
      <w:bookmarkStart w:id="126" w:name="_Toc27977"/>
      <w:bookmarkStart w:id="127" w:name="_Toc7946141"/>
      <w:bookmarkStart w:id="128" w:name="_Toc16498"/>
      <w:bookmarkStart w:id="129" w:name="_Toc12549151"/>
      <w:bookmarkStart w:id="130" w:name="_Toc17308"/>
      <w:r>
        <w:rPr>
          <w:rFonts w:hint="eastAsia" w:ascii="黑体" w:hAnsi="黑体" w:eastAsia="黑体"/>
          <w:b w:val="0"/>
          <w:bCs/>
        </w:rPr>
        <w:t>一、构建“1+5+X”农业产业体系</w:t>
      </w:r>
      <w:bookmarkEnd w:id="124"/>
      <w:bookmarkEnd w:id="125"/>
      <w:bookmarkEnd w:id="126"/>
      <w:bookmarkEnd w:id="127"/>
      <w:bookmarkEnd w:id="128"/>
      <w:bookmarkEnd w:id="129"/>
      <w:bookmarkEnd w:id="130"/>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坚持一业突破、多业并举，</w:t>
      </w:r>
      <w:r>
        <w:rPr>
          <w:rFonts w:hint="eastAsia" w:ascii="仿宋_GB2312" w:hAnsi="仿宋_GB2312" w:eastAsia="仿宋_GB2312" w:cs="仿宋_GB2312"/>
          <w:b w:val="0"/>
          <w:bCs/>
          <w:szCs w:val="32"/>
          <w:lang w:eastAsia="zh-CN"/>
        </w:rPr>
        <w:t>实施特色产业提升行动，持续解决农业产业“散、小、短”问题，</w:t>
      </w:r>
      <w:r>
        <w:rPr>
          <w:rFonts w:hint="eastAsia" w:ascii="仿宋_GB2312" w:hAnsi="仿宋_GB2312" w:eastAsia="仿宋_GB2312" w:cs="仿宋_GB2312"/>
          <w:b w:val="0"/>
          <w:bCs/>
          <w:szCs w:val="32"/>
        </w:rPr>
        <w:t>依托独特的硒资源优势，按照“优质、高产、绿色、生态、安全、高效”要求，全产业链构建“1+5+X”农业产业体系，推动农业由增产导向转向提质导向，促进农民增收、扩大农村就业，带动乡村全面振兴和农民稳定致富。</w:t>
      </w:r>
    </w:p>
    <w:p>
      <w:pPr>
        <w:overflowPunct w:val="0"/>
        <w:ind w:firstLine="643"/>
        <w:outlineLvl w:val="2"/>
        <w:rPr>
          <w:rFonts w:ascii="楷体" w:hAnsi="楷体" w:eastAsia="楷体"/>
          <w:b w:val="0"/>
          <w:bCs/>
          <w:szCs w:val="24"/>
        </w:rPr>
      </w:pPr>
      <w:r>
        <w:rPr>
          <w:rFonts w:hint="eastAsia" w:ascii="楷体" w:hAnsi="楷体" w:eastAsia="楷体"/>
          <w:b w:val="0"/>
          <w:bCs/>
          <w:szCs w:val="24"/>
        </w:rPr>
        <w:t>（一）做精</w:t>
      </w:r>
      <w:r>
        <w:rPr>
          <w:rFonts w:ascii="楷体" w:hAnsi="楷体" w:eastAsia="楷体"/>
          <w:b w:val="0"/>
          <w:bCs/>
          <w:szCs w:val="24"/>
        </w:rPr>
        <w:t>1个主导</w:t>
      </w:r>
      <w:r>
        <w:rPr>
          <w:rFonts w:hint="eastAsia" w:ascii="楷体" w:hAnsi="楷体" w:eastAsia="楷体"/>
          <w:b w:val="0"/>
          <w:bCs/>
          <w:szCs w:val="24"/>
        </w:rPr>
        <w:t>产业</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依托富硒茶资源优势，大力实施“八大创新工程”，做精做深茶产业。实施茶树紫阳种繁育工程，加快高香、低咖啡因、抗旱、耐寒、抗病虫等紫阳种优良株系品种选育扩繁，有序推进优良株系纯种建设新茶园。坚持新建与改造提升并举，新建茶园4万亩，升级改造茶园10万亩，打造高产、高效、优质茶叶基地。大力推广高山茶园标准化管理技术，强化茶叶采摘技术培训，提高茶园标准化管理水平；完善茶产业“十百千万”生产体系，形成功能齐全、要素集聚的产业联盟式发展格局。到2023年，全县茶园面积达到28万亩，其中标准化茶园达到10万亩，丰产性茶园达到15万亩，茶叶产量达到9000吨以上，茶业产值达到25亿元以上。</w:t>
      </w:r>
    </w:p>
    <w:p>
      <w:pPr>
        <w:overflowPunct w:val="0"/>
        <w:ind w:firstLine="643"/>
        <w:outlineLvl w:val="2"/>
        <w:rPr>
          <w:rFonts w:ascii="楷体" w:hAnsi="楷体" w:eastAsia="楷体"/>
          <w:b w:val="0"/>
          <w:bCs/>
          <w:szCs w:val="24"/>
        </w:rPr>
      </w:pPr>
      <w:r>
        <w:rPr>
          <w:rFonts w:hint="eastAsia" w:ascii="楷体" w:hAnsi="楷体" w:eastAsia="楷体"/>
          <w:b w:val="0"/>
          <w:bCs/>
          <w:szCs w:val="24"/>
        </w:rPr>
        <w:t>（二）加快发展5个支柱产业</w:t>
      </w:r>
    </w:p>
    <w:p>
      <w:pPr>
        <w:overflowPunct w:val="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以富硒资源和水资源为基础，深入推进魔芋、畜牧养殖、中药材、特色林果、生态渔业五个支柱产业绿色化、优质化、特色化、品牌化发展，助推农业产业转型升级。推广魔芋林下种植模式，探索魔芋病虫草害统防统治新技术，提升富硒魔芋产业发展水平，到2023年，建成</w:t>
      </w:r>
      <w:r>
        <w:rPr>
          <w:rFonts w:ascii="仿宋_GB2312" w:hAnsi="仿宋_GB2312" w:eastAsia="仿宋_GB2312" w:cs="仿宋_GB2312"/>
          <w:b w:val="0"/>
          <w:bCs/>
          <w:szCs w:val="32"/>
        </w:rPr>
        <w:t>3000</w:t>
      </w:r>
      <w:r>
        <w:rPr>
          <w:rFonts w:hint="eastAsia" w:ascii="仿宋_GB2312" w:hAnsi="仿宋_GB2312" w:eastAsia="仿宋_GB2312" w:cs="仿宋_GB2312"/>
          <w:b w:val="0"/>
          <w:bCs/>
          <w:szCs w:val="32"/>
        </w:rPr>
        <w:t>亩优质种源基地、3万亩商品芋基地，魔芋产量达到8.5万吨，实现产值6亿元。适度发展生态畜牧业，着力建设一批“设施良好、技术先进、农牧结合、管理规范”的规模化养殖场、林下养殖基地，到2023年，畜牧产值达到5亿元。推进中药材全产业链建设，形成种苗、种植、加工、销售一体化发展，打造秦巴道地中药材供应基地，到2023年，中药材产量达到6500吨，实现产值4.5亿元。加快特色林果基地建设，积极推广优良品种和丰产栽培技术，在中高山区重点发展核桃、板栗，浅山丘陵区重点发展金钱桔、皱皮柑、猕猴桃、李子，到2023年，山林经济综合产值达到10亿元以上。合理利用水资源，支持发展特色冷水鱼，推广稻田综合种养模式，到2023年，新增养殖水面3000亩,建成 5个以上生态循环养殖示范园，渔业综合产值达到1亿元以上。</w:t>
      </w:r>
    </w:p>
    <w:p>
      <w:pPr>
        <w:overflowPunct w:val="0"/>
        <w:ind w:firstLine="643"/>
        <w:outlineLvl w:val="2"/>
        <w:rPr>
          <w:rFonts w:ascii="楷体" w:hAnsi="楷体" w:eastAsia="楷体"/>
          <w:b w:val="0"/>
          <w:bCs/>
          <w:szCs w:val="24"/>
        </w:rPr>
      </w:pPr>
      <w:bookmarkStart w:id="131" w:name="_Toc10545853"/>
      <w:bookmarkStart w:id="132" w:name="_Toc7946148"/>
      <w:bookmarkStart w:id="133" w:name="_Toc12549154"/>
      <w:r>
        <w:rPr>
          <w:rFonts w:hint="eastAsia" w:ascii="楷体" w:hAnsi="楷体" w:eastAsia="楷体"/>
          <w:b w:val="0"/>
          <w:bCs/>
          <w:szCs w:val="24"/>
        </w:rPr>
        <w:t>（三）推动农业多元化发展</w:t>
      </w:r>
      <w:bookmarkEnd w:id="131"/>
      <w:bookmarkEnd w:id="132"/>
      <w:bookmarkEnd w:id="133"/>
    </w:p>
    <w:p>
      <w:pPr>
        <w:overflowPunct w:val="0"/>
        <w:spacing w:after="120" w:afterLines="50"/>
        <w:ind w:firstLine="640"/>
        <w:rPr>
          <w:rFonts w:eastAsia="宋体" w:cs="Times New Roman"/>
          <w:b w:val="0"/>
          <w:bCs/>
          <w:szCs w:val="24"/>
        </w:rPr>
      </w:pPr>
      <w:r>
        <w:rPr>
          <w:rFonts w:hint="eastAsia" w:ascii="仿宋_GB2312" w:hAnsi="仿宋_GB2312" w:eastAsia="仿宋_GB2312" w:cs="仿宋_GB2312"/>
          <w:b w:val="0"/>
          <w:bCs/>
          <w:szCs w:val="32"/>
        </w:rPr>
        <w:t>挖掘资源潜力，推动区域特色产业科学布局、集约集聚、精准覆盖，在发展壮大</w:t>
      </w:r>
      <w:r>
        <w:rPr>
          <w:rFonts w:ascii="仿宋_GB2312" w:hAnsi="仿宋_GB2312" w:eastAsia="仿宋_GB2312" w:cs="仿宋_GB2312"/>
          <w:b w:val="0"/>
          <w:bCs/>
          <w:szCs w:val="32"/>
        </w:rPr>
        <w:t>1</w:t>
      </w:r>
      <w:r>
        <w:rPr>
          <w:rFonts w:hint="eastAsia" w:ascii="仿宋_GB2312" w:hAnsi="仿宋_GB2312" w:eastAsia="仿宋_GB2312" w:cs="仿宋_GB2312"/>
          <w:b w:val="0"/>
          <w:bCs/>
          <w:szCs w:val="32"/>
        </w:rPr>
        <w:t>个主导产业、5个支柱产业基础上，立足资源禀赋，突出特色，差异竞争，因地制宜推进食用菌、蔬菜、中蜂、杂粮等一批契合市场需求的小众特色产业发展，促进生产要素在空间和产业上的优化配置，集聚形成具有规模优势的种植区、产业带。充分发挥农业的观光、休闲、体验等功能，推动“农业+”融合发展，提高农业的综合效益。通过政策引导、市场带动、信息服务和资金扶持等途径，调动农民主动发展产业的积极性，多途径促进农民增收。</w:t>
      </w:r>
    </w:p>
    <w:tbl>
      <w:tblPr>
        <w:tblStyle w:val="16"/>
        <w:tblW w:w="8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8603" w:type="dxa"/>
            <w:shd w:val="clear" w:color="auto" w:fill="D0CECE" w:themeFill="background2" w:themeFillShade="E6"/>
          </w:tcPr>
          <w:p>
            <w:pPr>
              <w:widowControl/>
              <w:spacing w:line="240" w:lineRule="auto"/>
              <w:ind w:firstLine="0" w:firstLineChars="0"/>
              <w:jc w:val="center"/>
              <w:textAlignment w:val="center"/>
              <w:rPr>
                <w:rFonts w:ascii="宋体" w:hAnsi="宋体" w:eastAsia="宋体"/>
                <w:b w:val="0"/>
                <w:bCs/>
                <w:w w:val="90"/>
                <w:sz w:val="22"/>
                <w:szCs w:val="18"/>
              </w:rPr>
            </w:pPr>
            <w:r>
              <w:rPr>
                <w:rFonts w:hint="eastAsia" w:ascii="宋体" w:hAnsi="宋体" w:cs="宋体" w:eastAsiaTheme="minorEastAsia"/>
                <w:b w:val="0"/>
                <w:bCs/>
                <w:w w:val="90"/>
                <w:kern w:val="0"/>
                <w:sz w:val="24"/>
                <w:szCs w:val="20"/>
              </w:rPr>
              <w:t>专栏2 特色优势产业突破行动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6" w:hRule="atLeast"/>
          <w:jc w:val="center"/>
        </w:trPr>
        <w:tc>
          <w:tcPr>
            <w:tcW w:w="8603" w:type="dxa"/>
          </w:tcPr>
          <w:p>
            <w:pPr>
              <w:overflowPunct w:val="0"/>
              <w:spacing w:line="240" w:lineRule="auto"/>
              <w:ind w:firstLine="437"/>
              <w:rPr>
                <w:rFonts w:eastAsia="宋体" w:cs="Times New Roman"/>
                <w:b w:val="0"/>
                <w:bCs/>
                <w:w w:val="90"/>
                <w:sz w:val="24"/>
                <w:szCs w:val="20"/>
              </w:rPr>
            </w:pPr>
            <w:r>
              <w:rPr>
                <w:rFonts w:hint="eastAsia" w:eastAsia="宋体"/>
                <w:b w:val="0"/>
                <w:bCs/>
                <w:w w:val="90"/>
                <w:sz w:val="24"/>
                <w:szCs w:val="20"/>
              </w:rPr>
              <w:t>富硒茶业产业提档升级行动：加快高标准茶叶基地建设，重点加强茶叶种苗繁育、基地培育、精深加工、宣传营销、文化、品牌和市场建设，打造茶叶全产业链。依托中国农业科学院茶叶研究所，建立紫阳县富硒茶种植标准化技术体系，实现经营主体增效壮大和茶农增</w:t>
            </w:r>
            <w:r>
              <w:rPr>
                <w:rFonts w:eastAsia="宋体" w:cs="Times New Roman"/>
                <w:b w:val="0"/>
                <w:bCs/>
                <w:w w:val="90"/>
                <w:sz w:val="24"/>
                <w:szCs w:val="20"/>
              </w:rPr>
              <w:t>收致富。</w:t>
            </w:r>
          </w:p>
          <w:p>
            <w:pPr>
              <w:overflowPunct w:val="0"/>
              <w:spacing w:line="240" w:lineRule="auto"/>
              <w:ind w:firstLine="437"/>
              <w:rPr>
                <w:rFonts w:eastAsia="宋体"/>
                <w:b w:val="0"/>
                <w:bCs/>
                <w:w w:val="90"/>
                <w:sz w:val="24"/>
                <w:szCs w:val="20"/>
              </w:rPr>
            </w:pPr>
            <w:r>
              <w:rPr>
                <w:rFonts w:hint="eastAsia" w:eastAsia="宋体"/>
                <w:b w:val="0"/>
                <w:bCs/>
                <w:w w:val="90"/>
                <w:sz w:val="24"/>
                <w:szCs w:val="20"/>
              </w:rPr>
              <w:t>富硒魔芋产业扩量增效行动：围绕高滩、瓦庙等魔芋种植大镇，推广魔芋林下种植模式，通过实施种源基地建设、开展技术研发、病虫害攻关、新产品开发、标准制定、精品打造、市场开拓和品牌营销等工作，将紫阳县建成全国重要的富硒魔芋生产基地。</w:t>
            </w:r>
          </w:p>
          <w:p>
            <w:pPr>
              <w:overflowPunct w:val="0"/>
              <w:spacing w:line="240" w:lineRule="auto"/>
              <w:ind w:firstLine="437"/>
              <w:rPr>
                <w:rFonts w:eastAsia="宋体"/>
                <w:b w:val="0"/>
                <w:bCs/>
                <w:w w:val="90"/>
                <w:sz w:val="24"/>
                <w:szCs w:val="20"/>
              </w:rPr>
            </w:pPr>
            <w:r>
              <w:rPr>
                <w:rFonts w:hint="eastAsia" w:eastAsia="宋体"/>
                <w:b w:val="0"/>
                <w:bCs/>
                <w:w w:val="90"/>
                <w:sz w:val="24"/>
                <w:szCs w:val="20"/>
              </w:rPr>
              <w:t>富硒中药产业标准化发展行动：实施“一品一策”定向精准培育，不断扩大厚朴、杜仲、金银花等秦巴道地中药材种植规模，加快中药材原种、良种繁育基地建设，加强道地中药材标准化生产基地建设，提高标准化生产水平。</w:t>
            </w:r>
          </w:p>
          <w:p>
            <w:pPr>
              <w:overflowPunct w:val="0"/>
              <w:spacing w:line="240" w:lineRule="auto"/>
              <w:ind w:firstLine="437"/>
              <w:rPr>
                <w:rFonts w:eastAsia="宋体"/>
                <w:b w:val="0"/>
                <w:bCs/>
                <w:w w:val="90"/>
                <w:sz w:val="24"/>
                <w:szCs w:val="20"/>
              </w:rPr>
            </w:pPr>
            <w:r>
              <w:rPr>
                <w:rFonts w:hint="eastAsia" w:eastAsia="宋体"/>
                <w:b w:val="0"/>
                <w:bCs/>
                <w:w w:val="90"/>
                <w:sz w:val="24"/>
                <w:szCs w:val="20"/>
              </w:rPr>
              <w:t>富硒畜牧产业规模化养殖行动：围绕特色产业发展，与订单养殖、订单“认养”、餐饮品鉴、特色礼包等推介活动结合，增加品种的多元化、产品的特色化。以黑猪、林下散养土鸡等为重点，支持选育紫阳本地特色畜禽品种，推进全县生猪繁育中心建设，配套粪污处理设施，推进粪污资源化利用；以林下养殖为突破口，以发展黑羽乌鸡、土鸡为重点，采取回归自然的生态养殖方式，促进林下养殖区域连片开发。</w:t>
            </w:r>
          </w:p>
          <w:p>
            <w:pPr>
              <w:overflowPunct w:val="0"/>
              <w:spacing w:line="240" w:lineRule="auto"/>
              <w:ind w:firstLine="437"/>
              <w:rPr>
                <w:rFonts w:ascii="宋体" w:hAnsi="宋体" w:eastAsia="宋体" w:cs="Times New Roman"/>
                <w:b w:val="0"/>
                <w:bCs/>
                <w:w w:val="90"/>
                <w:sz w:val="24"/>
                <w:szCs w:val="20"/>
              </w:rPr>
            </w:pPr>
            <w:r>
              <w:rPr>
                <w:rFonts w:hint="eastAsia" w:eastAsia="宋体"/>
                <w:b w:val="0"/>
                <w:bCs/>
                <w:w w:val="90"/>
                <w:sz w:val="24"/>
                <w:szCs w:val="20"/>
              </w:rPr>
              <w:t>富硒林果产业优化提升行动：整合资源、优化布局，以低产园改造、标准化建园、良种繁育（提纯复壮）示范基地为重点，在中高山区重点发展核桃、板栗，浅山丘陵区重点发展金钱桔、皱皮柑，积极推广优良品种和丰产栽培技术，着力解决林果生产过程中病虫害防治、品种退化等关键问题。</w:t>
            </w:r>
          </w:p>
        </w:tc>
      </w:tr>
    </w:tbl>
    <w:p>
      <w:pPr>
        <w:spacing w:line="580" w:lineRule="exact"/>
        <w:ind w:firstLine="640"/>
        <w:outlineLvl w:val="1"/>
        <w:rPr>
          <w:rFonts w:ascii="黑体" w:hAnsi="黑体" w:eastAsia="黑体"/>
          <w:b w:val="0"/>
          <w:bCs/>
        </w:rPr>
      </w:pPr>
      <w:bookmarkStart w:id="134" w:name="_Toc10545854"/>
      <w:bookmarkStart w:id="135" w:name="_Toc7946149"/>
      <w:bookmarkStart w:id="136" w:name="_Toc18213"/>
      <w:bookmarkStart w:id="137" w:name="_Toc18679"/>
      <w:bookmarkStart w:id="138" w:name="_Toc12828"/>
      <w:bookmarkStart w:id="139" w:name="_Toc12549155"/>
      <w:bookmarkStart w:id="140" w:name="_Toc31089"/>
      <w:r>
        <w:rPr>
          <w:rFonts w:hint="eastAsia" w:ascii="黑体" w:hAnsi="黑体" w:eastAsia="黑体"/>
          <w:b w:val="0"/>
          <w:bCs/>
        </w:rPr>
        <w:t>二、完善现代农业生产体系</w:t>
      </w:r>
      <w:bookmarkEnd w:id="134"/>
      <w:bookmarkEnd w:id="135"/>
      <w:bookmarkEnd w:id="136"/>
      <w:bookmarkEnd w:id="137"/>
      <w:bookmarkEnd w:id="138"/>
      <w:bookmarkEnd w:id="139"/>
      <w:bookmarkEnd w:id="140"/>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以农业园区建设为抓手，高效利用现代设施、装备、技术手段，大力发展绿色农业，提高农业标准化、科技化、信息化水平，着力打造全国绿色食品示范基地。</w:t>
      </w:r>
    </w:p>
    <w:p>
      <w:pPr>
        <w:overflowPunct w:val="0"/>
        <w:ind w:firstLine="643"/>
        <w:outlineLvl w:val="2"/>
        <w:rPr>
          <w:rFonts w:ascii="楷体" w:hAnsi="楷体" w:eastAsia="楷体"/>
          <w:b w:val="0"/>
          <w:bCs/>
          <w:szCs w:val="24"/>
        </w:rPr>
      </w:pPr>
      <w:bookmarkStart w:id="141" w:name="_Toc12549156"/>
      <w:bookmarkStart w:id="142" w:name="_Toc10545855"/>
      <w:r>
        <w:rPr>
          <w:rFonts w:hint="eastAsia" w:ascii="楷体" w:hAnsi="楷体" w:eastAsia="楷体"/>
          <w:b w:val="0"/>
          <w:bCs/>
          <w:szCs w:val="24"/>
        </w:rPr>
        <w:t>（一）健全粮食安全保障机制</w:t>
      </w:r>
      <w:bookmarkEnd w:id="141"/>
      <w:bookmarkEnd w:id="142"/>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严守耕地红线，扎实开展耕地质量保护与提升行动，确保耕地保有量不低于</w:t>
      </w:r>
      <w:r>
        <w:rPr>
          <w:rFonts w:ascii="仿宋_GB2312" w:hAnsi="仿宋_GB2312" w:eastAsia="仿宋_GB2312" w:cs="仿宋_GB2312"/>
          <w:b w:val="0"/>
          <w:bCs/>
          <w:szCs w:val="32"/>
        </w:rPr>
        <w:t>38870</w:t>
      </w:r>
      <w:r>
        <w:rPr>
          <w:rFonts w:hint="eastAsia" w:ascii="仿宋_GB2312" w:hAnsi="仿宋_GB2312" w:eastAsia="仿宋_GB2312" w:cs="仿宋_GB2312"/>
          <w:b w:val="0"/>
          <w:bCs/>
          <w:szCs w:val="32"/>
        </w:rPr>
        <w:t>公顷，基本农田保护面积不低于</w:t>
      </w:r>
      <w:r>
        <w:rPr>
          <w:rFonts w:ascii="仿宋_GB2312" w:hAnsi="仿宋_GB2312" w:eastAsia="仿宋_GB2312" w:cs="仿宋_GB2312"/>
          <w:b w:val="0"/>
          <w:bCs/>
          <w:szCs w:val="32"/>
        </w:rPr>
        <w:t>35650</w:t>
      </w:r>
      <w:r>
        <w:rPr>
          <w:rFonts w:hint="eastAsia" w:ascii="仿宋_GB2312" w:hAnsi="仿宋_GB2312" w:eastAsia="仿宋_GB2312" w:cs="仿宋_GB2312"/>
          <w:b w:val="0"/>
          <w:bCs/>
          <w:szCs w:val="32"/>
        </w:rPr>
        <w:t>公顷。根据“边划定、边建设”要求，积极推进高标准农田、骨干水利工程和中小型农田水利设施建设，改善农业生产条件。加快引进粮食新品种，广泛应用旱作节水、立体种植、绿色防控、配方施肥等集成技术，提高粮食综合生产能力，到</w:t>
      </w:r>
      <w:r>
        <w:rPr>
          <w:rFonts w:ascii="仿宋_GB2312" w:hAnsi="仿宋_GB2312" w:eastAsia="仿宋_GB2312" w:cs="仿宋_GB2312"/>
          <w:b w:val="0"/>
          <w:bCs/>
          <w:szCs w:val="32"/>
        </w:rPr>
        <w:t>202</w:t>
      </w:r>
      <w:r>
        <w:rPr>
          <w:rFonts w:hint="eastAsia" w:ascii="仿宋_GB2312" w:hAnsi="仿宋_GB2312" w:eastAsia="仿宋_GB2312" w:cs="仿宋_GB2312"/>
          <w:b w:val="0"/>
          <w:bCs/>
          <w:szCs w:val="32"/>
        </w:rPr>
        <w:t>3年，正常年景下粮食综合生产能力保持在</w:t>
      </w:r>
      <w:r>
        <w:rPr>
          <w:rFonts w:ascii="仿宋_GB2312" w:hAnsi="仿宋_GB2312" w:eastAsia="仿宋_GB2312" w:cs="仿宋_GB2312"/>
          <w:b w:val="0"/>
          <w:bCs/>
          <w:szCs w:val="32"/>
        </w:rPr>
        <w:t>10</w:t>
      </w:r>
      <w:r>
        <w:rPr>
          <w:rFonts w:hint="eastAsia" w:ascii="仿宋_GB2312" w:hAnsi="仿宋_GB2312" w:eastAsia="仿宋_GB2312" w:cs="仿宋_GB2312"/>
          <w:b w:val="0"/>
          <w:bCs/>
          <w:szCs w:val="32"/>
        </w:rPr>
        <w:t>万吨以上。</w:t>
      </w:r>
    </w:p>
    <w:p>
      <w:pPr>
        <w:overflowPunct w:val="0"/>
        <w:ind w:firstLine="643"/>
        <w:outlineLvl w:val="2"/>
        <w:rPr>
          <w:rFonts w:ascii="楷体" w:hAnsi="楷体" w:eastAsia="楷体"/>
          <w:b w:val="0"/>
          <w:bCs/>
          <w:szCs w:val="24"/>
        </w:rPr>
      </w:pPr>
      <w:bookmarkStart w:id="143" w:name="_Toc12549157"/>
      <w:r>
        <w:rPr>
          <w:rFonts w:hint="eastAsia" w:ascii="楷体" w:hAnsi="楷体" w:eastAsia="楷体"/>
          <w:b w:val="0"/>
          <w:bCs/>
          <w:szCs w:val="24"/>
        </w:rPr>
        <w:t>（二）提高农业科技创新能力</w:t>
      </w:r>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深入推进科技创新驱动县域经济发展示范县建设，突出农技人才培养、关键技术突破、科技成果转化等重点，围绕富硒产业，加强与浙江大学、西北农林科技大学、中国富硒产业研究院等交流与合作，建设国家重点实验室、科技企业孵化器等平台。推进紫阳茶叶研究所恢复升级为省级、国家级茶叶研究机构，依托该所加大紫阳富硒茶品种改良、品质提升研究，进一步巩固紫阳富硒茶产业的国内国际市场地位。围绕重点领域和关键环节，集中研发引进一批农业新品种、新技术、新装备。完善农业科技创新平台建设，通过联合建立紫阳富硒茶专业示范站、科技专家大院、众创空间等平台，支持专业技术人员深入一线创新创业，提高科技成果转化能力，农业科技进步贡献率年均提升1个百分点以上。</w:t>
      </w:r>
    </w:p>
    <w:p>
      <w:pPr>
        <w:overflowPunct w:val="0"/>
        <w:ind w:firstLine="643"/>
        <w:outlineLvl w:val="2"/>
        <w:rPr>
          <w:rFonts w:ascii="楷体" w:hAnsi="楷体" w:eastAsia="楷体"/>
          <w:b w:val="0"/>
          <w:bCs/>
          <w:szCs w:val="24"/>
        </w:rPr>
      </w:pPr>
      <w:r>
        <w:rPr>
          <w:rFonts w:hint="eastAsia" w:ascii="楷体" w:hAnsi="楷体" w:eastAsia="楷体"/>
          <w:b w:val="0"/>
          <w:bCs/>
          <w:szCs w:val="24"/>
        </w:rPr>
        <w:t>（三）因地制宜发展数字农业</w:t>
      </w:r>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实施“互联网+”现代农业行动，启动建设紫阳农业自然资源、硒产业、农村集体资产、农户和新型农业经营主体等大数据平台，逐步集成耕地管理、测土配方、质量溯源等信息化系统。鼓励互联网企业和特色优势产业生产经营主体进行数字化改造，着力建设一批农业物联网技术应用和信息化技术综合应用示范点；积极推进信息进村入户，加强村级信息服务网点建设，提高农业信息化水平。</w:t>
      </w:r>
    </w:p>
    <w:p>
      <w:pPr>
        <w:overflowPunct w:val="0"/>
        <w:ind w:firstLine="643"/>
        <w:outlineLvl w:val="2"/>
        <w:rPr>
          <w:rFonts w:ascii="楷体" w:hAnsi="楷体" w:eastAsia="楷体"/>
          <w:b w:val="0"/>
          <w:bCs/>
          <w:szCs w:val="24"/>
        </w:rPr>
      </w:pPr>
      <w:r>
        <w:rPr>
          <w:rFonts w:hint="eastAsia" w:ascii="楷体" w:hAnsi="楷体" w:eastAsia="楷体"/>
          <w:b w:val="0"/>
          <w:bCs/>
          <w:szCs w:val="24"/>
        </w:rPr>
        <w:t>（四）推动农业园区提档升级</w:t>
      </w:r>
      <w:bookmarkEnd w:id="143"/>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坚持把农业园区作为农业高质量发展的重要载体，深入开展农业园区“等级创建”，打造一批产业特色鲜明、要素高度集聚、设施装备先进、生产方式绿色、经济效益显著、辐射带动力强的现代农业产业园，形成国家级、省级、市县级园区协调发展格局。牢固树立亩均效益导向，对不同园区实行差别化的资源要素配置，全面提升园区土地产出率、劳动生产率和资源利用率。积极推动园区功能由基地型向示范型、服务型转变。到</w:t>
      </w:r>
      <w:r>
        <w:rPr>
          <w:rFonts w:ascii="仿宋_GB2312" w:hAnsi="仿宋_GB2312" w:eastAsia="仿宋_GB2312" w:cs="仿宋_GB2312"/>
          <w:b w:val="0"/>
          <w:bCs/>
          <w:szCs w:val="32"/>
        </w:rPr>
        <w:t>202</w:t>
      </w:r>
      <w:r>
        <w:rPr>
          <w:rFonts w:hint="eastAsia" w:ascii="仿宋_GB2312" w:hAnsi="仿宋_GB2312" w:eastAsia="仿宋_GB2312" w:cs="仿宋_GB2312"/>
          <w:b w:val="0"/>
          <w:bCs/>
          <w:szCs w:val="32"/>
        </w:rPr>
        <w:t>3年，培育认定市级以上农业园区</w:t>
      </w:r>
      <w:r>
        <w:rPr>
          <w:rFonts w:ascii="仿宋_GB2312" w:hAnsi="仿宋_GB2312" w:eastAsia="仿宋_GB2312" w:cs="仿宋_GB2312"/>
          <w:b w:val="0"/>
          <w:bCs/>
          <w:szCs w:val="32"/>
        </w:rPr>
        <w:t>50</w:t>
      </w:r>
      <w:r>
        <w:rPr>
          <w:rFonts w:hint="eastAsia" w:ascii="仿宋_GB2312" w:hAnsi="仿宋_GB2312" w:eastAsia="仿宋_GB2312" w:cs="仿宋_GB2312"/>
          <w:b w:val="0"/>
          <w:bCs/>
          <w:szCs w:val="32"/>
        </w:rPr>
        <w:t>个，其中国家级1个、省级5个。</w:t>
      </w:r>
    </w:p>
    <w:p>
      <w:pPr>
        <w:overflowPunct w:val="0"/>
        <w:ind w:firstLine="643"/>
        <w:outlineLvl w:val="2"/>
        <w:rPr>
          <w:rFonts w:ascii="楷体" w:hAnsi="楷体" w:eastAsia="楷体"/>
          <w:b w:val="0"/>
          <w:bCs/>
          <w:szCs w:val="24"/>
        </w:rPr>
      </w:pPr>
      <w:bookmarkStart w:id="144" w:name="_Toc10545871"/>
      <w:bookmarkStart w:id="145" w:name="_Toc12549173"/>
      <w:bookmarkStart w:id="146" w:name="_Toc7946165"/>
      <w:r>
        <w:rPr>
          <w:rFonts w:hint="eastAsia" w:ascii="楷体" w:hAnsi="楷体" w:eastAsia="楷体"/>
          <w:b w:val="0"/>
          <w:bCs/>
          <w:szCs w:val="24"/>
        </w:rPr>
        <w:t>（五）完善农业支持保护制度</w:t>
      </w:r>
      <w:bookmarkEnd w:id="144"/>
      <w:bookmarkEnd w:id="145"/>
      <w:bookmarkEnd w:id="146"/>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持续加大政府投入力度，</w:t>
      </w:r>
      <w:r>
        <w:rPr>
          <w:rFonts w:hint="eastAsia" w:ascii="仿宋_GB2312" w:hAnsi="仿宋_GB2312" w:eastAsia="仿宋_GB2312" w:cs="仿宋_GB2312"/>
          <w:b w:val="0"/>
          <w:bCs/>
          <w:szCs w:val="32"/>
          <w:lang w:eastAsia="zh-CN"/>
        </w:rPr>
        <w:t>完善结构调整补助政策，</w:t>
      </w:r>
      <w:r>
        <w:rPr>
          <w:rFonts w:hint="eastAsia" w:ascii="仿宋_GB2312" w:hAnsi="仿宋_GB2312" w:eastAsia="仿宋_GB2312" w:cs="仿宋_GB2312"/>
          <w:b w:val="0"/>
          <w:bCs/>
          <w:szCs w:val="32"/>
        </w:rPr>
        <w:t>精准落实农民直接补贴制度，</w:t>
      </w:r>
      <w:r>
        <w:rPr>
          <w:rFonts w:hint="eastAsia" w:ascii="仿宋_GB2312" w:hAnsi="仿宋_GB2312" w:eastAsia="仿宋_GB2312" w:cs="仿宋_GB2312"/>
          <w:b w:val="0"/>
          <w:bCs/>
          <w:szCs w:val="32"/>
          <w:lang w:eastAsia="zh-CN"/>
        </w:rPr>
        <w:t>不断提高农业补贴政策的指向性和精准性</w:t>
      </w:r>
      <w:r>
        <w:rPr>
          <w:rFonts w:hint="eastAsia" w:ascii="仿宋_GB2312" w:hAnsi="仿宋_GB2312" w:eastAsia="仿宋_GB2312" w:cs="仿宋_GB2312"/>
          <w:b w:val="0"/>
          <w:bCs/>
          <w:szCs w:val="32"/>
        </w:rPr>
        <w:t>。加大财政对农业保险费的补贴力度，全面落实10个中央补贴品种和6个省级补贴品种，争取落实茶叶、魔芋2个中央补贴品种，继续开展10个市级补贴品种；逐步扩大农业保险范围，推进农业保险“增品扩面提标降费”，着力构建“中、省、市、县”四级互补的风险保障体系。加大与保险、银行、信托等金融机构合作，开展带有趋势性、方向性的农业保险创新品种试点，引导多元主体参与，构建“多层次、全方位”的发展和稳定保障体系。</w:t>
      </w:r>
    </w:p>
    <w:p>
      <w:pPr>
        <w:spacing w:before="120" w:beforeLines="50" w:line="240" w:lineRule="auto"/>
        <w:ind w:firstLine="0" w:firstLineChars="0"/>
        <w:jc w:val="center"/>
        <w:rPr>
          <w:rFonts w:cs="Times New Roman" w:eastAsiaTheme="minorEastAsia"/>
          <w:b w:val="0"/>
          <w:bCs/>
          <w:w w:val="90"/>
          <w:sz w:val="24"/>
          <w:szCs w:val="24"/>
        </w:rPr>
      </w:pPr>
      <w:r>
        <w:rPr>
          <w:rFonts w:hint="eastAsia" w:cs="Times New Roman" w:eastAsiaTheme="minorEastAsia"/>
          <w:b w:val="0"/>
          <w:bCs/>
          <w:w w:val="90"/>
          <w:sz w:val="24"/>
          <w:szCs w:val="24"/>
        </w:rPr>
        <w:t>表</w:t>
      </w:r>
      <w:r>
        <w:rPr>
          <w:rFonts w:cs="Times New Roman" w:eastAsiaTheme="minorEastAsia"/>
          <w:b w:val="0"/>
          <w:bCs/>
          <w:w w:val="90"/>
          <w:sz w:val="24"/>
          <w:szCs w:val="24"/>
        </w:rPr>
        <w:t>5</w:t>
      </w:r>
      <w:r>
        <w:rPr>
          <w:rFonts w:hint="eastAsia" w:cs="Times New Roman" w:eastAsiaTheme="minorEastAsia"/>
          <w:b w:val="0"/>
          <w:bCs/>
          <w:w w:val="90"/>
          <w:sz w:val="24"/>
          <w:szCs w:val="24"/>
        </w:rPr>
        <w:t>-</w:t>
      </w:r>
      <w:r>
        <w:rPr>
          <w:rFonts w:cs="Times New Roman" w:eastAsiaTheme="minorEastAsia"/>
          <w:b w:val="0"/>
          <w:bCs/>
          <w:w w:val="90"/>
          <w:sz w:val="24"/>
          <w:szCs w:val="24"/>
        </w:rPr>
        <w:t xml:space="preserve">1 </w:t>
      </w:r>
      <w:r>
        <w:rPr>
          <w:rFonts w:hint="eastAsia" w:cs="Times New Roman" w:eastAsiaTheme="minorEastAsia"/>
          <w:b w:val="0"/>
          <w:bCs/>
          <w:w w:val="90"/>
          <w:sz w:val="24"/>
          <w:szCs w:val="24"/>
        </w:rPr>
        <w:t>农业保险情况</w:t>
      </w:r>
    </w:p>
    <w:tbl>
      <w:tblPr>
        <w:tblStyle w:val="16"/>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4111"/>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458"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hint="eastAsia" w:cs="Times New Roman" w:eastAsiaTheme="minorEastAsia"/>
                <w:b w:val="0"/>
                <w:bCs/>
                <w:w w:val="90"/>
                <w:sz w:val="24"/>
                <w:szCs w:val="24"/>
              </w:rPr>
              <w:t>保险补贴类型</w:t>
            </w:r>
          </w:p>
        </w:tc>
        <w:tc>
          <w:tcPr>
            <w:tcW w:w="4111"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全面落实</w:t>
            </w:r>
          </w:p>
        </w:tc>
        <w:tc>
          <w:tcPr>
            <w:tcW w:w="2022"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hint="eastAsia" w:cs="Times New Roman" w:eastAsiaTheme="minorEastAsia"/>
                <w:b w:val="0"/>
                <w:bCs/>
                <w:w w:val="90"/>
                <w:sz w:val="24"/>
                <w:szCs w:val="24"/>
              </w:rPr>
              <w:t>争取落实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r>
              <w:rPr>
                <w:rFonts w:hint="eastAsia" w:eastAsia="宋体" w:cs="Times New Roman"/>
                <w:b w:val="0"/>
                <w:bCs/>
                <w:w w:val="90"/>
                <w:kern w:val="0"/>
                <w:sz w:val="24"/>
                <w:szCs w:val="24"/>
                <w:lang w:bidi="ar"/>
              </w:rPr>
              <w:t>中央保险补贴品种</w:t>
            </w:r>
          </w:p>
        </w:tc>
        <w:tc>
          <w:tcPr>
            <w:tcW w:w="4111" w:type="dxa"/>
            <w:vAlign w:val="center"/>
          </w:tcPr>
          <w:p>
            <w:pPr>
              <w:widowControl/>
              <w:spacing w:line="240" w:lineRule="auto"/>
              <w:ind w:firstLine="0" w:firstLineChars="0"/>
              <w:jc w:val="left"/>
              <w:textAlignment w:val="center"/>
              <w:rPr>
                <w:rFonts w:eastAsia="宋体" w:cs="Times New Roman"/>
                <w:b w:val="0"/>
                <w:bCs/>
                <w:w w:val="90"/>
                <w:kern w:val="0"/>
                <w:sz w:val="24"/>
                <w:szCs w:val="24"/>
                <w:lang w:bidi="ar"/>
              </w:rPr>
            </w:pPr>
            <w:r>
              <w:rPr>
                <w:rFonts w:hint="eastAsia" w:eastAsia="宋体" w:cs="Times New Roman"/>
                <w:b w:val="0"/>
                <w:bCs/>
                <w:w w:val="90"/>
                <w:kern w:val="0"/>
                <w:sz w:val="24"/>
                <w:szCs w:val="24"/>
                <w:lang w:bidi="ar"/>
              </w:rPr>
              <w:t>苹果、核桃、大枣、花椒、猕猴桃、设施蔬菜、仔猪、种公猪、奶山羊、农房</w:t>
            </w:r>
          </w:p>
        </w:tc>
        <w:tc>
          <w:tcPr>
            <w:tcW w:w="2022"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r>
              <w:rPr>
                <w:rFonts w:eastAsia="宋体" w:cs="Times New Roman"/>
                <w:b w:val="0"/>
                <w:bCs/>
                <w:w w:val="90"/>
                <w:kern w:val="0"/>
                <w:sz w:val="24"/>
                <w:szCs w:val="24"/>
                <w:lang w:bidi="ar"/>
              </w:rPr>
              <w:t>茶叶、魔芋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r>
              <w:rPr>
                <w:rFonts w:hint="eastAsia" w:eastAsia="宋体" w:cs="Times New Roman"/>
                <w:b w:val="0"/>
                <w:bCs/>
                <w:w w:val="90"/>
                <w:kern w:val="0"/>
                <w:sz w:val="24"/>
                <w:szCs w:val="24"/>
                <w:lang w:bidi="ar"/>
              </w:rPr>
              <w:t>省级保险补贴品种</w:t>
            </w:r>
          </w:p>
        </w:tc>
        <w:tc>
          <w:tcPr>
            <w:tcW w:w="4111" w:type="dxa"/>
            <w:vAlign w:val="center"/>
          </w:tcPr>
          <w:p>
            <w:pPr>
              <w:widowControl/>
              <w:spacing w:line="240" w:lineRule="auto"/>
              <w:ind w:firstLine="0" w:firstLineChars="0"/>
              <w:jc w:val="left"/>
              <w:textAlignment w:val="center"/>
              <w:rPr>
                <w:rFonts w:eastAsia="宋体" w:cs="Times New Roman"/>
                <w:b w:val="0"/>
                <w:bCs/>
                <w:w w:val="90"/>
                <w:kern w:val="0"/>
                <w:sz w:val="24"/>
                <w:szCs w:val="24"/>
                <w:lang w:bidi="ar"/>
              </w:rPr>
            </w:pPr>
            <w:r>
              <w:rPr>
                <w:rFonts w:eastAsia="宋体" w:cs="Times New Roman"/>
                <w:b w:val="0"/>
                <w:bCs/>
                <w:w w:val="90"/>
                <w:kern w:val="0"/>
                <w:sz w:val="24"/>
                <w:szCs w:val="24"/>
                <w:lang w:bidi="ar"/>
              </w:rPr>
              <w:t>核桃、设施蔬菜、仔猪、种公猪、奶山羊、农房</w:t>
            </w:r>
          </w:p>
        </w:tc>
        <w:tc>
          <w:tcPr>
            <w:tcW w:w="2022"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r>
              <w:rPr>
                <w:rFonts w:eastAsia="宋体" w:cs="Times New Roman"/>
                <w:b w:val="0"/>
                <w:bCs/>
                <w:w w:val="90"/>
                <w:kern w:val="0"/>
                <w:sz w:val="24"/>
                <w:szCs w:val="24"/>
                <w:lang w:bidi="ar"/>
              </w:rPr>
              <w:t>茶叶、魔芋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r>
              <w:rPr>
                <w:rFonts w:eastAsia="宋体" w:cs="Times New Roman"/>
                <w:b w:val="0"/>
                <w:bCs/>
                <w:w w:val="90"/>
                <w:kern w:val="0"/>
                <w:sz w:val="24"/>
                <w:szCs w:val="24"/>
                <w:lang w:bidi="ar"/>
              </w:rPr>
              <w:t>市级保险</w:t>
            </w:r>
            <w:r>
              <w:rPr>
                <w:rFonts w:hint="eastAsia" w:eastAsia="宋体" w:cs="Times New Roman"/>
                <w:b w:val="0"/>
                <w:bCs/>
                <w:w w:val="90"/>
                <w:kern w:val="0"/>
                <w:sz w:val="24"/>
                <w:szCs w:val="24"/>
                <w:lang w:bidi="ar"/>
              </w:rPr>
              <w:t>补贴</w:t>
            </w:r>
            <w:r>
              <w:rPr>
                <w:rFonts w:eastAsia="宋体" w:cs="Times New Roman"/>
                <w:b w:val="0"/>
                <w:bCs/>
                <w:w w:val="90"/>
                <w:kern w:val="0"/>
                <w:sz w:val="24"/>
                <w:szCs w:val="24"/>
                <w:lang w:bidi="ar"/>
              </w:rPr>
              <w:t>品种</w:t>
            </w:r>
          </w:p>
        </w:tc>
        <w:tc>
          <w:tcPr>
            <w:tcW w:w="4111" w:type="dxa"/>
            <w:vAlign w:val="center"/>
          </w:tcPr>
          <w:p>
            <w:pPr>
              <w:widowControl/>
              <w:spacing w:line="240" w:lineRule="auto"/>
              <w:ind w:firstLine="0" w:firstLineChars="0"/>
              <w:jc w:val="left"/>
              <w:textAlignment w:val="center"/>
              <w:rPr>
                <w:rFonts w:eastAsia="宋体" w:cs="Times New Roman"/>
                <w:b w:val="0"/>
                <w:bCs/>
                <w:w w:val="90"/>
                <w:kern w:val="0"/>
                <w:sz w:val="24"/>
                <w:szCs w:val="24"/>
                <w:lang w:bidi="ar"/>
              </w:rPr>
            </w:pPr>
            <w:r>
              <w:rPr>
                <w:rFonts w:eastAsia="宋体" w:cs="Times New Roman"/>
                <w:b w:val="0"/>
                <w:bCs/>
                <w:w w:val="90"/>
                <w:kern w:val="0"/>
                <w:sz w:val="24"/>
                <w:szCs w:val="24"/>
                <w:lang w:bidi="ar"/>
              </w:rPr>
              <w:t>小麦、马铃薯、核桃、育肥猪、能繁母猪、油菜、水稻、玉米、森林、茶叶</w:t>
            </w:r>
          </w:p>
        </w:tc>
        <w:tc>
          <w:tcPr>
            <w:tcW w:w="2022" w:type="dxa"/>
            <w:vAlign w:val="center"/>
          </w:tcPr>
          <w:p>
            <w:pPr>
              <w:widowControl/>
              <w:spacing w:line="240" w:lineRule="auto"/>
              <w:ind w:firstLine="0" w:firstLineChars="0"/>
              <w:jc w:val="center"/>
              <w:textAlignment w:val="center"/>
              <w:rPr>
                <w:rFonts w:eastAsia="宋体" w:cs="Times New Roman"/>
                <w:b w:val="0"/>
                <w:bCs/>
                <w:w w:val="90"/>
                <w:kern w:val="0"/>
                <w:sz w:val="24"/>
                <w:szCs w:val="24"/>
                <w:lang w:bidi="ar"/>
              </w:rPr>
            </w:pPr>
          </w:p>
        </w:tc>
      </w:tr>
    </w:tbl>
    <w:p>
      <w:pPr>
        <w:overflowPunct w:val="0"/>
        <w:ind w:firstLine="643"/>
        <w:outlineLvl w:val="2"/>
        <w:rPr>
          <w:rFonts w:ascii="楷体" w:hAnsi="楷体" w:eastAsia="楷体"/>
          <w:b w:val="0"/>
          <w:bCs/>
          <w:szCs w:val="24"/>
        </w:rPr>
      </w:pPr>
      <w:r>
        <w:rPr>
          <w:rFonts w:hint="eastAsia" w:ascii="楷体" w:hAnsi="楷体" w:eastAsia="楷体"/>
          <w:b w:val="0"/>
          <w:bCs/>
          <w:szCs w:val="24"/>
        </w:rPr>
        <w:t>（六）强化农业质量品牌建设</w:t>
      </w:r>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围绕“紫阳富硒茶”区域公共品牌打造，引导企业开展知名品牌创建，鼓励企业加大商标注册申请力度，加强特色农产品品牌整合。开展农产品质量安全示范县、镇、村三级联创，组织企业开展紫阳富硒产品原产地、地理标志和绿色食品、有机食品、SC、ISO认证，狠抓源头治理、标准化生产、追溯跟踪、安全监管、依法惩处工作。到2023年，农产品质量安全抽检合格率保持在98.5%以上，全县“两品一标”企业总量超过30家，争创国家级农产品质量安全县。</w:t>
      </w:r>
    </w:p>
    <w:tbl>
      <w:tblPr>
        <w:tblStyle w:val="16"/>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73" w:type="dxa"/>
            <w:shd w:val="clear" w:color="auto" w:fill="D0CECE" w:themeFill="background2" w:themeFillShade="E6"/>
            <w:vAlign w:val="center"/>
          </w:tcPr>
          <w:p>
            <w:pPr>
              <w:widowControl/>
              <w:spacing w:line="240" w:lineRule="auto"/>
              <w:ind w:firstLine="0" w:firstLineChars="0"/>
              <w:jc w:val="center"/>
              <w:textAlignment w:val="center"/>
              <w:rPr>
                <w:rFonts w:ascii="宋体" w:hAnsi="宋体" w:eastAsiaTheme="minorEastAsia"/>
                <w:b w:val="0"/>
                <w:bCs/>
                <w:w w:val="90"/>
                <w:sz w:val="24"/>
                <w:szCs w:val="20"/>
              </w:rPr>
            </w:pPr>
            <w:r>
              <w:rPr>
                <w:rFonts w:hint="eastAsia" w:ascii="宋体" w:hAnsi="宋体" w:cs="宋体" w:eastAsiaTheme="minorEastAsia"/>
                <w:b w:val="0"/>
                <w:bCs/>
                <w:w w:val="90"/>
                <w:kern w:val="0"/>
                <w:sz w:val="24"/>
                <w:szCs w:val="20"/>
              </w:rPr>
              <w:t>专栏3 农业生产体系建设工程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3" w:type="dxa"/>
          </w:tcPr>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耕地质量保护提升工程：重点在县域中部、北部凤凰山区与蒿坪河川道等区域，扎实开展耕地质量保护与提升行动，确保耕地保有量不低于38870公顷，基本农田保护面积不低于35650公顷。</w:t>
            </w:r>
          </w:p>
          <w:p>
            <w:pPr>
              <w:overflowPunct w:val="0"/>
              <w:spacing w:line="240" w:lineRule="auto"/>
              <w:ind w:firstLine="437"/>
              <w:rPr>
                <w:rFonts w:ascii="宋体" w:hAnsi="宋体" w:eastAsia="宋体" w:cs="Times New Roman"/>
                <w:b w:val="0"/>
                <w:bCs/>
                <w:w w:val="90"/>
                <w:sz w:val="24"/>
                <w:szCs w:val="20"/>
              </w:rPr>
            </w:pPr>
            <w:r>
              <w:rPr>
                <w:rFonts w:hint="eastAsia" w:ascii="宋体" w:hAnsi="宋体" w:eastAsia="宋体" w:cs="Times New Roman"/>
                <w:b w:val="0"/>
                <w:bCs/>
                <w:w w:val="90"/>
                <w:sz w:val="24"/>
                <w:szCs w:val="20"/>
              </w:rPr>
              <w:t>重点领域科技创新工程：</w:t>
            </w:r>
            <w:r>
              <w:rPr>
                <w:rFonts w:hint="eastAsia" w:ascii="宋体" w:hAnsi="宋体" w:eastAsia="宋体" w:cs="Times New Roman"/>
                <w:b w:val="0"/>
                <w:bCs/>
                <w:w w:val="90"/>
                <w:sz w:val="24"/>
                <w:szCs w:val="24"/>
              </w:rPr>
              <w:t>加快紫阳种优良株系选育扩繁，建设苗木繁育基地；开展紫阳富</w:t>
            </w:r>
            <w:r>
              <w:rPr>
                <w:rFonts w:hint="eastAsia" w:ascii="宋体" w:hAnsi="宋体" w:eastAsia="宋体" w:cs="Times New Roman"/>
                <w:b w:val="0"/>
                <w:bCs/>
                <w:w w:val="90"/>
                <w:sz w:val="24"/>
                <w:szCs w:val="20"/>
              </w:rPr>
              <w:t>硒茶营养与健康评价、科学饮用方式等基础研究，为市场开拓和产品推广提供科技支撑。</w:t>
            </w:r>
            <w:r>
              <w:rPr>
                <w:rFonts w:ascii="宋体" w:hAnsi="宋体" w:eastAsia="宋体" w:cs="Times New Roman"/>
                <w:b w:val="0"/>
                <w:bCs/>
                <w:w w:val="90"/>
                <w:sz w:val="24"/>
                <w:szCs w:val="20"/>
              </w:rPr>
              <w:t>林果业重点开展脱毒苗木繁育、果园起垄覆盖、老果园改造、病虫害防控、幼树早丰优质高效栽培、果品采后增值等技术的试验研究</w:t>
            </w:r>
            <w:r>
              <w:rPr>
                <w:rFonts w:hint="eastAsia" w:ascii="宋体" w:hAnsi="宋体" w:eastAsia="宋体" w:cs="Times New Roman"/>
                <w:b w:val="0"/>
                <w:bCs/>
                <w:w w:val="90"/>
                <w:sz w:val="24"/>
                <w:szCs w:val="20"/>
              </w:rPr>
              <w:t>。</w:t>
            </w:r>
          </w:p>
          <w:p>
            <w:pPr>
              <w:overflowPunct w:val="0"/>
              <w:spacing w:line="240" w:lineRule="auto"/>
              <w:ind w:firstLine="437"/>
              <w:rPr>
                <w:rFonts w:ascii="宋体" w:hAnsi="宋体" w:eastAsia="宋体" w:cs="Times New Roman"/>
                <w:b w:val="0"/>
                <w:bCs/>
                <w:w w:val="90"/>
                <w:sz w:val="24"/>
                <w:szCs w:val="20"/>
              </w:rPr>
            </w:pPr>
            <w:r>
              <w:rPr>
                <w:rFonts w:hint="eastAsia" w:ascii="宋体" w:hAnsi="宋体" w:eastAsia="宋体" w:cs="Times New Roman"/>
                <w:b w:val="0"/>
                <w:bCs/>
                <w:w w:val="90"/>
                <w:sz w:val="24"/>
                <w:szCs w:val="20"/>
              </w:rPr>
              <w:t>科技专家振兴农业工程：在</w:t>
            </w:r>
            <w:r>
              <w:rPr>
                <w:rFonts w:hint="eastAsia" w:eastAsia="宋体" w:cs="Times New Roman"/>
                <w:b w:val="0"/>
                <w:bCs/>
                <w:w w:val="90"/>
                <w:sz w:val="24"/>
                <w:szCs w:val="20"/>
              </w:rPr>
              <w:t>省级以上农业园区</w:t>
            </w:r>
            <w:r>
              <w:rPr>
                <w:rFonts w:hint="eastAsia" w:ascii="宋体" w:hAnsi="宋体" w:eastAsia="宋体" w:cs="Times New Roman"/>
                <w:b w:val="0"/>
                <w:bCs/>
                <w:w w:val="90"/>
                <w:sz w:val="24"/>
                <w:szCs w:val="20"/>
              </w:rPr>
              <w:t>各建</w:t>
            </w:r>
            <w:r>
              <w:rPr>
                <w:rFonts w:ascii="宋体" w:hAnsi="宋体" w:eastAsia="宋体" w:cs="Times New Roman"/>
                <w:b w:val="0"/>
                <w:bCs/>
                <w:w w:val="90"/>
                <w:sz w:val="24"/>
                <w:szCs w:val="20"/>
              </w:rPr>
              <w:t>1个农业科技专家大院，</w:t>
            </w:r>
            <w:r>
              <w:rPr>
                <w:rFonts w:hint="eastAsia" w:ascii="宋体" w:hAnsi="宋体" w:eastAsia="宋体" w:cs="Times New Roman"/>
                <w:b w:val="0"/>
                <w:bCs/>
                <w:w w:val="90"/>
                <w:sz w:val="24"/>
                <w:szCs w:val="20"/>
              </w:rPr>
              <w:t>每个专家大院专家组由</w:t>
            </w:r>
            <w:r>
              <w:rPr>
                <w:rFonts w:ascii="宋体" w:hAnsi="宋体" w:eastAsia="宋体" w:cs="Times New Roman"/>
                <w:b w:val="0"/>
                <w:bCs/>
                <w:w w:val="90"/>
                <w:sz w:val="24"/>
                <w:szCs w:val="20"/>
              </w:rPr>
              <w:t>2名以上专家组成，实行首席专家负责制。</w:t>
            </w:r>
            <w:r>
              <w:rPr>
                <w:rFonts w:hint="eastAsia" w:ascii="宋体" w:hAnsi="宋体" w:eastAsia="宋体" w:cs="Times New Roman"/>
                <w:b w:val="0"/>
                <w:bCs/>
                <w:w w:val="90"/>
                <w:sz w:val="24"/>
                <w:szCs w:val="20"/>
              </w:rPr>
              <w:t>以农业科技特派员为主，适当聘请高等院校或科研单位专家、教授和专业技术人员。把实用科技成果在专家大院或基地进行组装配套、生产示范，加速新品种、新技术、新工艺等推广应用，并通过示范辐射带动周边农户。</w:t>
            </w:r>
          </w:p>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农业园区提档升级工程：充分发挥“龙头企业+基地+专业合作社+农户”作用，进一步提升农业园区机械化、智能化、标准化水平，加深农业园区与旅游业融合发展，推动焕古庄园现代农业园区、和平现代农业园区、闽秦现代农业园区等50个农业园区提档升级，到2</w:t>
            </w:r>
            <w:r>
              <w:rPr>
                <w:rFonts w:cs="Times New Roman" w:eastAsiaTheme="minorEastAsia"/>
                <w:b w:val="0"/>
                <w:bCs/>
                <w:w w:val="90"/>
                <w:kern w:val="0"/>
                <w:sz w:val="24"/>
                <w:szCs w:val="20"/>
              </w:rPr>
              <w:t>02</w:t>
            </w:r>
            <w:r>
              <w:rPr>
                <w:rFonts w:hint="eastAsia" w:cs="Times New Roman" w:eastAsiaTheme="minorEastAsia"/>
                <w:b w:val="0"/>
                <w:bCs/>
                <w:w w:val="90"/>
                <w:kern w:val="0"/>
                <w:sz w:val="24"/>
                <w:szCs w:val="20"/>
              </w:rPr>
              <w:t>3年，培育国家级现代农业园区1个、省级现代农业园区5个。</w:t>
            </w:r>
          </w:p>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农产品质量安全监管工程：加强农产品生产、流通环节质量监管，依法打击掺杂制假、以次充好等扰乱市场秩序行为，建立农产品产地质量认证和质量安全追溯体系，加快建设农产品质量监测预警、安全溯源平台，进一步加大“二维码”“电子耳环”等信息数码技术的推广与应用力度，实现农产品质量安全监管全覆盖。</w:t>
            </w:r>
          </w:p>
        </w:tc>
      </w:tr>
    </w:tbl>
    <w:p>
      <w:pPr>
        <w:spacing w:before="120" w:beforeLines="50"/>
        <w:ind w:firstLine="640"/>
        <w:outlineLvl w:val="1"/>
        <w:rPr>
          <w:rFonts w:ascii="黑体" w:hAnsi="黑体" w:eastAsia="黑体"/>
          <w:b w:val="0"/>
          <w:bCs/>
        </w:rPr>
      </w:pPr>
      <w:bookmarkStart w:id="147" w:name="_Toc13215"/>
      <w:bookmarkStart w:id="148" w:name="_Toc7946154"/>
      <w:bookmarkStart w:id="149" w:name="_Toc31961"/>
      <w:bookmarkStart w:id="150" w:name="_Toc13088"/>
      <w:bookmarkStart w:id="151" w:name="_Toc12549162"/>
      <w:bookmarkStart w:id="152" w:name="_Toc4026"/>
      <w:bookmarkStart w:id="153" w:name="_Toc10545859"/>
      <w:r>
        <w:rPr>
          <w:rFonts w:hint="eastAsia" w:ascii="黑体" w:hAnsi="黑体" w:eastAsia="黑体"/>
          <w:b w:val="0"/>
          <w:bCs/>
        </w:rPr>
        <w:t>三、健全现代农业经营体系</w:t>
      </w:r>
      <w:bookmarkEnd w:id="147"/>
      <w:bookmarkEnd w:id="148"/>
      <w:bookmarkEnd w:id="149"/>
      <w:bookmarkEnd w:id="150"/>
      <w:bookmarkEnd w:id="151"/>
      <w:bookmarkEnd w:id="152"/>
      <w:bookmarkEnd w:id="153"/>
    </w:p>
    <w:p>
      <w:pPr>
        <w:overflowPunct w:val="0"/>
        <w:spacing w:after="120" w:afterLines="50"/>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坚持家庭经营在农业中的基础性地位，壮大新型农业经营主体，促进小农户和现代农业发展有机衔接，推动家庭经营、集体经营、合作经营、企业经营共同发展。</w:t>
      </w:r>
    </w:p>
    <w:p>
      <w:pPr>
        <w:overflowPunct w:val="0"/>
        <w:spacing w:line="580" w:lineRule="exact"/>
        <w:ind w:firstLine="643"/>
        <w:outlineLvl w:val="2"/>
        <w:rPr>
          <w:rFonts w:ascii="楷体" w:hAnsi="楷体" w:eastAsia="楷体"/>
          <w:b w:val="0"/>
          <w:bCs/>
          <w:szCs w:val="24"/>
        </w:rPr>
      </w:pPr>
      <w:bookmarkStart w:id="154" w:name="_Toc7946155"/>
      <w:bookmarkStart w:id="155" w:name="_Toc10545860"/>
      <w:bookmarkStart w:id="156" w:name="_Toc12549163"/>
      <w:r>
        <w:rPr>
          <w:rFonts w:hint="eastAsia" w:ascii="楷体" w:hAnsi="楷体" w:eastAsia="楷体"/>
          <w:b w:val="0"/>
          <w:bCs/>
          <w:szCs w:val="24"/>
        </w:rPr>
        <w:t>（一）培育新型农业经营主体</w:t>
      </w:r>
      <w:bookmarkEnd w:id="154"/>
      <w:bookmarkEnd w:id="155"/>
      <w:bookmarkEnd w:id="156"/>
    </w:p>
    <w:p>
      <w:pPr>
        <w:spacing w:line="580" w:lineRule="exact"/>
        <w:ind w:firstLine="640"/>
        <w:rPr>
          <w:rFonts w:ascii="仿宋_GB2312" w:hAnsi="仿宋_GB2312" w:eastAsia="仿宋_GB2312" w:cs="仿宋_GB2312"/>
          <w:b w:val="0"/>
          <w:bCs/>
        </w:rPr>
      </w:pPr>
      <w:r>
        <w:rPr>
          <w:rFonts w:hint="eastAsia" w:ascii="仿宋_GB2312" w:hAnsi="仿宋_GB2312" w:eastAsia="仿宋_GB2312" w:cs="仿宋_GB2312"/>
          <w:b w:val="0"/>
          <w:bCs/>
          <w:szCs w:val="24"/>
        </w:rPr>
        <w:t>开展新型农业经营主体培育行动,大力发展专业大户、家庭农场、农民专业合作社等新型经营主体，形成“户办场、场入社、社联企、企接市”的联动发展模式，打造一批多元融合产业化联合体。引导鼓励农民合作社、龙头企业等新型农业经营主体采取直接投资、参股经营等方式开展产前、产中、产后等农业社会化服务。加快建立新型农业经营主体支持政策体系，加大县级财政、税收、信贷、保险等政策对新型农业经营主体的支持力度，扩大新型农业经营主体承担涉农项目范围。</w:t>
      </w:r>
    </w:p>
    <w:tbl>
      <w:tblPr>
        <w:tblStyle w:val="16"/>
        <w:tblW w:w="8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90" w:type="dxa"/>
            <w:shd w:val="clear" w:color="auto" w:fill="D0CECE" w:themeFill="background2" w:themeFillShade="E6"/>
            <w:vAlign w:val="center"/>
          </w:tcPr>
          <w:p>
            <w:pPr>
              <w:overflowPunct w:val="0"/>
              <w:spacing w:line="240" w:lineRule="auto"/>
              <w:ind w:firstLine="0" w:firstLineChars="0"/>
              <w:jc w:val="center"/>
              <w:rPr>
                <w:rFonts w:cs="Times New Roman" w:eastAsiaTheme="minorEastAsia"/>
                <w:b w:val="0"/>
                <w:bCs/>
                <w:w w:val="90"/>
                <w:kern w:val="0"/>
                <w:sz w:val="24"/>
                <w:szCs w:val="20"/>
              </w:rPr>
            </w:pPr>
            <w:r>
              <w:rPr>
                <w:rFonts w:hint="eastAsia" w:ascii="宋体" w:hAnsi="宋体" w:cs="宋体" w:eastAsiaTheme="minorEastAsia"/>
                <w:b w:val="0"/>
                <w:bCs/>
                <w:w w:val="90"/>
                <w:kern w:val="0"/>
                <w:sz w:val="24"/>
                <w:szCs w:val="20"/>
              </w:rPr>
              <w:t>专栏4 新型农业经营主体发展行动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0" w:type="dxa"/>
          </w:tcPr>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新型农业经营主体培育行动：大力培育农业龙头企业，积极开展农民合作社、家庭农场创建活动。</w:t>
            </w:r>
            <w:r>
              <w:rPr>
                <w:rFonts w:cs="Times New Roman" w:eastAsiaTheme="minorEastAsia"/>
                <w:b w:val="0"/>
                <w:bCs/>
                <w:w w:val="90"/>
                <w:kern w:val="0"/>
                <w:sz w:val="24"/>
                <w:szCs w:val="20"/>
              </w:rPr>
              <w:t>每年扶持农业示范企业5个</w:t>
            </w:r>
            <w:r>
              <w:rPr>
                <w:rFonts w:hint="eastAsia" w:cs="Times New Roman" w:eastAsiaTheme="minorEastAsia"/>
                <w:b w:val="0"/>
                <w:bCs/>
                <w:w w:val="90"/>
                <w:kern w:val="0"/>
                <w:sz w:val="24"/>
                <w:szCs w:val="20"/>
              </w:rPr>
              <w:t>，</w:t>
            </w:r>
            <w:r>
              <w:rPr>
                <w:rFonts w:cs="Times New Roman" w:eastAsiaTheme="minorEastAsia"/>
                <w:b w:val="0"/>
                <w:bCs/>
                <w:w w:val="90"/>
                <w:kern w:val="0"/>
                <w:sz w:val="24"/>
                <w:szCs w:val="20"/>
              </w:rPr>
              <w:t>规范提升专业合作社10个，培育规模经营示范农场</w:t>
            </w:r>
            <w:r>
              <w:rPr>
                <w:rFonts w:hint="eastAsia" w:cs="Times New Roman" w:eastAsiaTheme="minorEastAsia"/>
                <w:b w:val="0"/>
                <w:bCs/>
                <w:w w:val="90"/>
                <w:kern w:val="0"/>
                <w:sz w:val="24"/>
                <w:szCs w:val="20"/>
              </w:rPr>
              <w:t>2</w:t>
            </w:r>
            <w:r>
              <w:rPr>
                <w:rFonts w:cs="Times New Roman" w:eastAsiaTheme="minorEastAsia"/>
                <w:b w:val="0"/>
                <w:bCs/>
                <w:w w:val="90"/>
                <w:kern w:val="0"/>
                <w:sz w:val="24"/>
                <w:szCs w:val="20"/>
              </w:rPr>
              <w:t>0个</w:t>
            </w:r>
            <w:r>
              <w:rPr>
                <w:rFonts w:hint="eastAsia" w:cs="Times New Roman" w:eastAsiaTheme="minorEastAsia"/>
                <w:b w:val="0"/>
                <w:bCs/>
                <w:w w:val="90"/>
                <w:kern w:val="0"/>
                <w:sz w:val="24"/>
                <w:szCs w:val="20"/>
              </w:rPr>
              <w:t>。</w:t>
            </w:r>
          </w:p>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农业经营主体带头人培育行动：实施新型职业农民培育工程、现代青年农场主培育计划、农村青年创业致富“领头雁”培养计划等项目，到2023年，培育新型农业经营主体带头人1</w:t>
            </w:r>
            <w:r>
              <w:rPr>
                <w:rFonts w:cs="Times New Roman" w:eastAsiaTheme="minorEastAsia"/>
                <w:b w:val="0"/>
                <w:bCs/>
                <w:w w:val="90"/>
                <w:kern w:val="0"/>
                <w:sz w:val="24"/>
                <w:szCs w:val="20"/>
              </w:rPr>
              <w:t>00</w:t>
            </w:r>
            <w:r>
              <w:rPr>
                <w:rFonts w:hint="eastAsia" w:cs="Times New Roman" w:eastAsiaTheme="minorEastAsia"/>
                <w:b w:val="0"/>
                <w:bCs/>
                <w:w w:val="90"/>
                <w:kern w:val="0"/>
                <w:sz w:val="24"/>
                <w:szCs w:val="20"/>
              </w:rPr>
              <w:t>人。</w:t>
            </w:r>
          </w:p>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农业经营主体服务平台建设行动：建设为农服务体系，打造县级农业服务中心，构建综合性、规模化、可持续为农服务体系，实现农民组织化与服务规模化的有机衔接，从根本上把小农生产引入现代农业发展轨道。</w:t>
            </w:r>
          </w:p>
        </w:tc>
      </w:tr>
    </w:tbl>
    <w:p>
      <w:pPr>
        <w:overflowPunct w:val="0"/>
        <w:ind w:firstLine="643"/>
        <w:outlineLvl w:val="2"/>
        <w:rPr>
          <w:rFonts w:ascii="楷体" w:hAnsi="楷体" w:eastAsia="楷体"/>
          <w:b w:val="0"/>
          <w:bCs/>
          <w:szCs w:val="24"/>
        </w:rPr>
      </w:pPr>
      <w:bookmarkStart w:id="157" w:name="_Toc10545861"/>
      <w:bookmarkStart w:id="158" w:name="_Toc12549164"/>
      <w:r>
        <w:rPr>
          <w:rFonts w:hint="eastAsia" w:ascii="楷体" w:hAnsi="楷体" w:eastAsia="楷体"/>
          <w:b w:val="0"/>
          <w:bCs/>
          <w:szCs w:val="24"/>
        </w:rPr>
        <w:t>（二）发展新型农村集体经济</w:t>
      </w:r>
      <w:bookmarkEnd w:id="157"/>
      <w:bookmarkEnd w:id="158"/>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深入推进农村集体产权制度改革，通过“清资产、定成员、明份额、赋权能、建组织、促发展”，有效利用各类资源、资产、资金，因地制宜发展壮大集体经济。鼓励村集体经济组织领办创办合作社及生产生活服务实体，为农业经营主体提供全生命周期服务。到2020年底实现所有行政村都有稳定的集体经济收入，到2023年底实现每个行政村年集体经济收入不低于10万元，确保集体资产保值增值、群众收益。</w:t>
      </w:r>
    </w:p>
    <w:p>
      <w:pPr>
        <w:overflowPunct w:val="0"/>
        <w:ind w:firstLine="643"/>
        <w:outlineLvl w:val="2"/>
        <w:rPr>
          <w:rFonts w:ascii="楷体" w:hAnsi="楷体" w:eastAsia="楷体"/>
          <w:b w:val="0"/>
          <w:bCs/>
          <w:szCs w:val="24"/>
        </w:rPr>
      </w:pPr>
      <w:bookmarkStart w:id="159" w:name="_Toc7946157"/>
      <w:bookmarkStart w:id="160" w:name="_Toc10545862"/>
      <w:bookmarkStart w:id="161" w:name="_Toc12549165"/>
      <w:r>
        <w:rPr>
          <w:rFonts w:hint="eastAsia" w:ascii="楷体" w:hAnsi="楷体" w:eastAsia="楷体"/>
          <w:b w:val="0"/>
          <w:bCs/>
          <w:szCs w:val="24"/>
        </w:rPr>
        <w:t>（三）促进小农户融入现代农业发展</w:t>
      </w:r>
      <w:bookmarkEnd w:id="159"/>
      <w:bookmarkEnd w:id="160"/>
      <w:bookmarkEnd w:id="161"/>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鼓励新型农业经营主体与小农户建立契约型、股权型利益联结机制，推广“保底收益+按股分红”等分配模式，实现风险共担、利益共享，带动小农户专业化生产，提高小农户自我发展能力。支持以农业社会化服务企业为依托，积极探索农民以土地、劳务、资金入股等方式，与经营主体、社会资本联合发展现代农业，形成各类农业规模经营联合体。到2023年，创建</w:t>
      </w:r>
      <w:r>
        <w:rPr>
          <w:rFonts w:ascii="仿宋_GB2312" w:hAnsi="仿宋_GB2312" w:eastAsia="仿宋_GB2312" w:cs="仿宋_GB2312"/>
          <w:b w:val="0"/>
          <w:bCs/>
          <w:szCs w:val="24"/>
        </w:rPr>
        <w:t>1</w:t>
      </w:r>
      <w:r>
        <w:rPr>
          <w:rFonts w:hint="eastAsia" w:ascii="仿宋_GB2312" w:hAnsi="仿宋_GB2312" w:eastAsia="仿宋_GB2312" w:cs="仿宋_GB2312"/>
          <w:b w:val="0"/>
          <w:bCs/>
          <w:szCs w:val="24"/>
        </w:rPr>
        <w:t>个以上省级示范联合体。</w:t>
      </w:r>
    </w:p>
    <w:p>
      <w:pPr>
        <w:overflowPunct w:val="0"/>
        <w:spacing w:line="360" w:lineRule="auto"/>
        <w:ind w:firstLine="0" w:firstLineChars="0"/>
        <w:jc w:val="center"/>
        <w:rPr>
          <w:rFonts w:ascii="宋体" w:hAnsi="Courier New" w:eastAsia="宋体" w:cs="Times New Roman"/>
          <w:b w:val="0"/>
          <w:bCs/>
          <w:kern w:val="0"/>
          <w:sz w:val="28"/>
          <w:szCs w:val="28"/>
        </w:rPr>
      </w:pPr>
      <w:r>
        <w:rPr>
          <w:rFonts w:asciiTheme="minorHAnsi" w:hAnsiTheme="minorHAnsi" w:eastAsiaTheme="minorEastAsia"/>
          <w:b w:val="0"/>
          <w:bCs/>
          <w:sz w:val="21"/>
        </w:rPr>
        <w:drawing>
          <wp:inline distT="0" distB="0" distL="114300" distR="114300">
            <wp:extent cx="5541010" cy="2284730"/>
            <wp:effectExtent l="0" t="0" r="2540"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6"/>
                    <a:stretch>
                      <a:fillRect/>
                    </a:stretch>
                  </pic:blipFill>
                  <pic:spPr>
                    <a:xfrm>
                      <a:off x="0" y="0"/>
                      <a:ext cx="5541010" cy="2284730"/>
                    </a:xfrm>
                    <a:prstGeom prst="rect">
                      <a:avLst/>
                    </a:prstGeom>
                    <a:noFill/>
                    <a:ln>
                      <a:noFill/>
                    </a:ln>
                  </pic:spPr>
                </pic:pic>
              </a:graphicData>
            </a:graphic>
          </wp:inline>
        </w:drawing>
      </w:r>
    </w:p>
    <w:p>
      <w:pPr>
        <w:overflowPunct w:val="0"/>
        <w:spacing w:line="360" w:lineRule="auto"/>
        <w:ind w:firstLine="0" w:firstLineChars="0"/>
        <w:jc w:val="center"/>
        <w:rPr>
          <w:rFonts w:eastAsia="宋体"/>
          <w:b w:val="0"/>
          <w:bCs/>
          <w:w w:val="90"/>
          <w:sz w:val="24"/>
          <w:szCs w:val="24"/>
        </w:rPr>
      </w:pPr>
      <w:r>
        <w:rPr>
          <w:rFonts w:eastAsia="宋体"/>
          <w:b w:val="0"/>
          <w:bCs/>
          <w:w w:val="90"/>
          <w:sz w:val="24"/>
          <w:szCs w:val="24"/>
        </w:rPr>
        <w:t>图5</w:t>
      </w:r>
      <w:r>
        <w:rPr>
          <w:rFonts w:hint="eastAsia" w:eastAsia="宋体"/>
          <w:b w:val="0"/>
          <w:bCs/>
          <w:w w:val="90"/>
          <w:sz w:val="24"/>
          <w:szCs w:val="24"/>
        </w:rPr>
        <w:t>-</w:t>
      </w:r>
      <w:r>
        <w:rPr>
          <w:rFonts w:eastAsia="宋体"/>
          <w:b w:val="0"/>
          <w:bCs/>
          <w:w w:val="90"/>
          <w:sz w:val="24"/>
          <w:szCs w:val="24"/>
        </w:rPr>
        <w:t>1 小农户与新型农业经营主体利益联结机制</w:t>
      </w:r>
    </w:p>
    <w:p>
      <w:pPr>
        <w:overflowPunct w:val="0"/>
        <w:ind w:firstLine="643"/>
        <w:outlineLvl w:val="2"/>
        <w:rPr>
          <w:rFonts w:ascii="楷体" w:hAnsi="楷体" w:eastAsia="楷体"/>
          <w:b w:val="0"/>
          <w:bCs/>
          <w:szCs w:val="24"/>
        </w:rPr>
      </w:pPr>
      <w:bookmarkStart w:id="162" w:name="_Hlk17882034"/>
      <w:r>
        <w:rPr>
          <w:rFonts w:hint="eastAsia" w:ascii="楷体" w:hAnsi="楷体" w:eastAsia="楷体"/>
          <w:b w:val="0"/>
          <w:bCs/>
          <w:szCs w:val="24"/>
        </w:rPr>
        <w:t>（四）构建“1+X+N”经营管理模式</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按照“政府搭台、企业唱戏、创立精品”的基本思路，对农业项目（农业园区、田园综合体、特色小镇等）探索“1+X+N”的经营管理模式，即以镇政府或园区管委会等为中心，以参与项目的X个龙头企业为主导，结合N个小型企业或农民合作社以及农民，实现农业产业区域化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“1”为镇政府或园区管委会，主要进行区域农业产业发展总体统筹、平台搭建、基础设施建设等工作。</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“X”为参与项目的龙头企业。龙头企业作为项目的建设主体，承担投资、经营、项目建设以及人员培训，带动农户参与项目建设和经营，促进企业与农民共同增收。</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N”为具备生产、加工、销售、运营、流通等功能的小型企业、专业大户、家庭农场、专业合作社等新型经营主体。新型经营主体协同龙头企业实施区域农业产业项目的落地建设和经营管理，带动农民共同参与、共同增收。</w:t>
      </w:r>
    </w:p>
    <w:p>
      <w:pPr>
        <w:spacing w:line="240" w:lineRule="auto"/>
        <w:ind w:firstLine="640"/>
        <w:jc w:val="center"/>
        <w:rPr>
          <w:rFonts w:ascii="宋体" w:hAnsi="宋体" w:eastAsia="宋体"/>
          <w:b w:val="0"/>
          <w:bCs/>
          <w:szCs w:val="24"/>
        </w:rPr>
      </w:pPr>
      <w:r>
        <w:rPr>
          <w:rFonts w:hint="eastAsia" w:ascii="宋体" w:hAnsi="宋体" w:eastAsia="宋体"/>
          <w:b w:val="0"/>
          <w:bCs/>
          <w:szCs w:val="24"/>
        </w:rPr>
        <w:drawing>
          <wp:inline distT="0" distB="0" distL="114300" distR="114300">
            <wp:extent cx="4684395" cy="4695825"/>
            <wp:effectExtent l="0" t="0" r="1905" b="952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37"/>
                    <a:stretch>
                      <a:fillRect/>
                    </a:stretch>
                  </pic:blipFill>
                  <pic:spPr>
                    <a:xfrm>
                      <a:off x="0" y="0"/>
                      <a:ext cx="4684395" cy="4695825"/>
                    </a:xfrm>
                    <a:prstGeom prst="rect">
                      <a:avLst/>
                    </a:prstGeom>
                  </pic:spPr>
                </pic:pic>
              </a:graphicData>
            </a:graphic>
          </wp:inline>
        </w:drawing>
      </w:r>
    </w:p>
    <w:p>
      <w:pPr>
        <w:overflowPunct w:val="0"/>
        <w:adjustRightInd w:val="0"/>
        <w:snapToGrid w:val="0"/>
        <w:spacing w:line="360" w:lineRule="auto"/>
        <w:ind w:firstLine="0" w:firstLineChars="0"/>
        <w:jc w:val="center"/>
        <w:rPr>
          <w:rFonts w:eastAsia="宋体"/>
          <w:b w:val="0"/>
          <w:bCs/>
          <w:w w:val="90"/>
          <w:sz w:val="24"/>
          <w:szCs w:val="24"/>
        </w:rPr>
      </w:pPr>
      <w:r>
        <w:rPr>
          <w:rFonts w:hint="eastAsia" w:eastAsia="宋体"/>
          <w:b w:val="0"/>
          <w:bCs/>
          <w:w w:val="90"/>
          <w:sz w:val="24"/>
          <w:szCs w:val="24"/>
        </w:rPr>
        <w:t>图</w:t>
      </w:r>
      <w:r>
        <w:rPr>
          <w:rFonts w:eastAsia="宋体"/>
          <w:b w:val="0"/>
          <w:bCs/>
          <w:w w:val="90"/>
          <w:sz w:val="24"/>
          <w:szCs w:val="24"/>
        </w:rPr>
        <w:t>5</w:t>
      </w:r>
      <w:r>
        <w:rPr>
          <w:rFonts w:hint="eastAsia" w:eastAsia="宋体"/>
          <w:b w:val="0"/>
          <w:bCs/>
          <w:w w:val="90"/>
          <w:sz w:val="24"/>
          <w:szCs w:val="24"/>
        </w:rPr>
        <w:t>-</w:t>
      </w:r>
      <w:r>
        <w:rPr>
          <w:rFonts w:eastAsia="宋体"/>
          <w:b w:val="0"/>
          <w:bCs/>
          <w:w w:val="90"/>
          <w:sz w:val="24"/>
          <w:szCs w:val="24"/>
        </w:rPr>
        <w:t>2</w:t>
      </w:r>
      <w:r>
        <w:rPr>
          <w:rFonts w:hint="eastAsia" w:eastAsia="宋体"/>
          <w:b w:val="0"/>
          <w:bCs/>
          <w:w w:val="90"/>
          <w:sz w:val="24"/>
          <w:szCs w:val="24"/>
        </w:rPr>
        <w:t>“1+</w:t>
      </w:r>
      <w:r>
        <w:rPr>
          <w:rFonts w:eastAsia="宋体"/>
          <w:b w:val="0"/>
          <w:bCs/>
          <w:w w:val="90"/>
          <w:sz w:val="24"/>
          <w:szCs w:val="24"/>
        </w:rPr>
        <w:t>X</w:t>
      </w:r>
      <w:r>
        <w:rPr>
          <w:rFonts w:hint="eastAsia" w:eastAsia="宋体"/>
          <w:b w:val="0"/>
          <w:bCs/>
          <w:w w:val="90"/>
          <w:sz w:val="24"/>
          <w:szCs w:val="24"/>
        </w:rPr>
        <w:t>+</w:t>
      </w:r>
      <w:r>
        <w:rPr>
          <w:rFonts w:eastAsia="宋体"/>
          <w:b w:val="0"/>
          <w:bCs/>
          <w:w w:val="90"/>
          <w:sz w:val="24"/>
          <w:szCs w:val="24"/>
        </w:rPr>
        <w:t>N</w:t>
      </w:r>
      <w:r>
        <w:rPr>
          <w:rFonts w:hint="eastAsia" w:eastAsia="宋体"/>
          <w:b w:val="0"/>
          <w:bCs/>
          <w:w w:val="90"/>
          <w:sz w:val="24"/>
          <w:szCs w:val="24"/>
        </w:rPr>
        <w:t>”经营管理模式图</w:t>
      </w:r>
      <w:bookmarkEnd w:id="162"/>
    </w:p>
    <w:p>
      <w:pPr>
        <w:ind w:firstLine="640"/>
        <w:outlineLvl w:val="1"/>
        <w:rPr>
          <w:rFonts w:ascii="黑体" w:hAnsi="黑体" w:eastAsia="黑体"/>
          <w:b w:val="0"/>
          <w:bCs/>
        </w:rPr>
      </w:pPr>
      <w:bookmarkStart w:id="163" w:name="_Toc10545864"/>
      <w:bookmarkStart w:id="164" w:name="_Toc15807"/>
      <w:bookmarkStart w:id="165" w:name="_Toc31508"/>
      <w:bookmarkStart w:id="166" w:name="_Toc18092"/>
      <w:bookmarkStart w:id="167" w:name="_Toc1398"/>
      <w:bookmarkStart w:id="168" w:name="_Toc4162232"/>
      <w:bookmarkStart w:id="169" w:name="_Toc7946159"/>
      <w:bookmarkStart w:id="170" w:name="_Toc12549167"/>
      <w:r>
        <w:rPr>
          <w:rFonts w:hint="eastAsia" w:ascii="黑体" w:hAnsi="黑体" w:eastAsia="黑体"/>
          <w:b w:val="0"/>
          <w:bCs/>
        </w:rPr>
        <w:t>四、促进农村一二三产融合发展</w:t>
      </w:r>
      <w:bookmarkEnd w:id="163"/>
      <w:bookmarkEnd w:id="164"/>
      <w:bookmarkEnd w:id="165"/>
      <w:bookmarkEnd w:id="166"/>
      <w:bookmarkEnd w:id="167"/>
      <w:bookmarkEnd w:id="168"/>
      <w:bookmarkEnd w:id="169"/>
      <w:bookmarkEnd w:id="170"/>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以市场为导向，积极开发农业功能，支持农业与工业、服务业深度融合，逐步延长产业链、完善供应链、提升价值链，形成一二三产融合发展态势。</w:t>
      </w:r>
    </w:p>
    <w:p>
      <w:pPr>
        <w:ind w:firstLine="643"/>
        <w:rPr>
          <w:rFonts w:ascii="楷体" w:hAnsi="楷体" w:eastAsia="楷体"/>
          <w:b w:val="0"/>
          <w:bCs/>
          <w:szCs w:val="24"/>
        </w:rPr>
      </w:pPr>
      <w:r>
        <w:rPr>
          <w:rFonts w:hint="eastAsia" w:ascii="楷体" w:hAnsi="楷体" w:eastAsia="楷体"/>
          <w:b w:val="0"/>
          <w:bCs/>
          <w:szCs w:val="24"/>
        </w:rPr>
        <w:t>（一）推动农业与工业融合发展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农产品加工业分类提升行动。引导家庭农场、农村集体经济组织、农民合作社形成集分拣、冷贮、烘干、包装等为一体的农产品初加工体系；推动农产品加工企业及工商资本向园区聚集,加强茶叶、魔芋、中药材等富硒农产品商品化处理、精深化加工，提升产业融合发展带动能力。到2023年，全县农产品加工转化率达到65%以上，规模以上农产品加工企业突破50家，农产品加工产值超过60亿元。依托“新社区工厂”和家庭工坊建设，培植壮大带动能力强、发展潜力大的龙头企业，加快发展毛绒玩具、电子加工、手工艺品制作等产业，将紫阳打造成劳动密集型小微企业加工基地。</w:t>
      </w:r>
    </w:p>
    <w:p>
      <w:pPr>
        <w:overflowPunct w:val="0"/>
        <w:ind w:firstLine="643"/>
        <w:outlineLvl w:val="2"/>
        <w:rPr>
          <w:rFonts w:ascii="楷体" w:hAnsi="楷体" w:eastAsia="楷体"/>
          <w:b w:val="0"/>
          <w:bCs/>
          <w:szCs w:val="24"/>
        </w:rPr>
      </w:pPr>
      <w:r>
        <w:rPr>
          <w:rFonts w:hint="eastAsia" w:ascii="楷体" w:hAnsi="楷体" w:eastAsia="楷体"/>
          <w:b w:val="0"/>
          <w:bCs/>
          <w:szCs w:val="24"/>
        </w:rPr>
        <w:t>（二）推动农业与旅游业深度融合</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围绕“汉江画廊.茶歌紫阳”旅游形象定位，结合国家全域旅游示范县创建，实施休闲农业和乡村旅游精品工程，加快硒茶小镇、高桥田园生态小镇、蒿坪富硒康养小镇等农旅融合项目建设，推进优质特色农业、优美乡村环境与优势工商资本结合，打造一批集现代农业、休闲旅游为一体的田园综合体和乡村旅游精品线路。探索利用闲置农房发展民宿、养老等项目，</w:t>
      </w:r>
      <w:r>
        <w:rPr>
          <w:rFonts w:ascii="仿宋_GB2312" w:hAnsi="仿宋_GB2312" w:eastAsia="仿宋_GB2312" w:cs="仿宋_GB2312"/>
          <w:b w:val="0"/>
          <w:bCs/>
          <w:szCs w:val="24"/>
        </w:rPr>
        <w:t>依托得天独厚的硒资源优势</w:t>
      </w:r>
      <w:r>
        <w:rPr>
          <w:rFonts w:hint="eastAsia" w:ascii="仿宋_GB2312" w:hAnsi="仿宋_GB2312" w:eastAsia="仿宋_GB2312" w:cs="仿宋_GB2312"/>
          <w:b w:val="0"/>
          <w:bCs/>
          <w:szCs w:val="24"/>
        </w:rPr>
        <w:t>、</w:t>
      </w:r>
      <w:r>
        <w:rPr>
          <w:rFonts w:ascii="仿宋_GB2312" w:hAnsi="仿宋_GB2312" w:eastAsia="仿宋_GB2312" w:cs="仿宋_GB2312"/>
          <w:b w:val="0"/>
          <w:bCs/>
          <w:szCs w:val="24"/>
        </w:rPr>
        <w:t>“中药宝库”优势和青山绿水的生态优势</w:t>
      </w:r>
      <w:r>
        <w:rPr>
          <w:rFonts w:hint="eastAsia" w:ascii="仿宋_GB2312" w:hAnsi="仿宋_GB2312" w:eastAsia="仿宋_GB2312" w:cs="仿宋_GB2312"/>
          <w:b w:val="0"/>
          <w:bCs/>
          <w:szCs w:val="24"/>
        </w:rPr>
        <w:t>，</w:t>
      </w:r>
      <w:r>
        <w:rPr>
          <w:rFonts w:ascii="仿宋_GB2312" w:hAnsi="仿宋_GB2312" w:eastAsia="仿宋_GB2312" w:cs="仿宋_GB2312"/>
          <w:b w:val="0"/>
          <w:bCs/>
          <w:szCs w:val="24"/>
        </w:rPr>
        <w:t>全力打造“生态健康”养老品牌</w:t>
      </w:r>
      <w:r>
        <w:rPr>
          <w:rFonts w:hint="eastAsia" w:ascii="仿宋_GB2312" w:hAnsi="仿宋_GB2312" w:eastAsia="仿宋_GB2312" w:cs="仿宋_GB2312"/>
          <w:b w:val="0"/>
          <w:bCs/>
          <w:szCs w:val="24"/>
        </w:rPr>
        <w:t>、</w:t>
      </w:r>
      <w:r>
        <w:rPr>
          <w:rFonts w:ascii="仿宋_GB2312" w:hAnsi="仿宋_GB2312" w:eastAsia="仿宋_GB2312" w:cs="仿宋_GB2312"/>
          <w:b w:val="0"/>
          <w:bCs/>
          <w:szCs w:val="24"/>
        </w:rPr>
        <w:t>特色“药养”品牌</w:t>
      </w:r>
      <w:r>
        <w:rPr>
          <w:rFonts w:hint="eastAsia" w:ascii="仿宋_GB2312" w:hAnsi="仿宋_GB2312" w:eastAsia="仿宋_GB2312" w:cs="仿宋_GB2312"/>
          <w:b w:val="0"/>
          <w:bCs/>
          <w:szCs w:val="24"/>
        </w:rPr>
        <w:t>和</w:t>
      </w:r>
      <w:r>
        <w:rPr>
          <w:rFonts w:ascii="仿宋_GB2312" w:hAnsi="仿宋_GB2312" w:eastAsia="仿宋_GB2312" w:cs="仿宋_GB2312"/>
          <w:b w:val="0"/>
          <w:bCs/>
          <w:szCs w:val="24"/>
        </w:rPr>
        <w:t>特色“食养”品牌。</w:t>
      </w:r>
      <w:r>
        <w:rPr>
          <w:rFonts w:hint="eastAsia" w:ascii="仿宋_GB2312" w:hAnsi="仿宋_GB2312" w:eastAsia="仿宋_GB2312" w:cs="仿宋_GB2312"/>
          <w:b w:val="0"/>
          <w:bCs/>
          <w:szCs w:val="24"/>
        </w:rPr>
        <w:t>鼓励发展乡村共享经济、创意农业、特色文化产业。到2023年，全县新培育田园综合体、特色小镇5个以上。</w:t>
      </w:r>
    </w:p>
    <w:p>
      <w:pPr>
        <w:overflowPunct w:val="0"/>
        <w:ind w:firstLine="643"/>
        <w:outlineLvl w:val="2"/>
        <w:rPr>
          <w:rFonts w:ascii="楷体" w:hAnsi="楷体" w:eastAsia="楷体"/>
          <w:b w:val="0"/>
          <w:bCs/>
          <w:szCs w:val="24"/>
        </w:rPr>
      </w:pPr>
      <w:r>
        <w:rPr>
          <w:rFonts w:hint="eastAsia" w:ascii="楷体" w:hAnsi="楷体" w:eastAsia="楷体"/>
          <w:b w:val="0"/>
          <w:bCs/>
          <w:szCs w:val="24"/>
        </w:rPr>
        <w:t>（三）推动农业与农产品流通业融合发展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统筹农产品流通设施布局,建立县级冷链物流体系和覆盖乡镇的冷链物流网点,支持农产品主产区冷库建设,推进果蔬等作物产地预冷、商品化处理和冷链物流建设,积极争取国家级（紫阳）富硒茶叶市场项目落地。依托县智慧物流中心，鼓励大型商贸物流企业扩大在农村地区的经营布局范围，积极探索邮呗智慧物流共享平台应用模式。加强农产品专业市场建设,推动县镇农贸市场升级改造,加强培育商贸服务业集聚区。鼓励农超对接、农校对接和设立直销店、直销窗口，推广农产品连锁经营，提升农产品营销能力。</w:t>
      </w:r>
    </w:p>
    <w:p>
      <w:pPr>
        <w:overflowPunct w:val="0"/>
        <w:ind w:firstLine="643"/>
        <w:outlineLvl w:val="2"/>
        <w:rPr>
          <w:rFonts w:ascii="楷体" w:hAnsi="楷体" w:eastAsia="楷体"/>
          <w:b w:val="0"/>
          <w:bCs/>
          <w:szCs w:val="24"/>
        </w:rPr>
      </w:pPr>
      <w:r>
        <w:rPr>
          <w:rFonts w:hint="eastAsia" w:ascii="楷体" w:hAnsi="楷体" w:eastAsia="楷体"/>
          <w:b w:val="0"/>
          <w:bCs/>
          <w:szCs w:val="24"/>
        </w:rPr>
        <w:t>（四）推动农业与文化创意产业融合发展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农场、农业园区为主阵地，以紫阳“茶歌文化”为内涵，以茶、魔芋、中药材等为主原料，打造集种植、加工、创作、销售为一体的文创农场、农艺工坊、文创农品专营店等载体，不断提升农产品附加值，增加农民收入。探索实施综合性文创农业项目，以农业要素为主题和题材，以建筑为核心，配套花园、果园、田园、菜园等农业生态环境，为游客提供一批农事活动体验、农业文化欣赏、居住、游乐、休闲、养生、养老等功能服务为一体的休闲农业文创主题农场。面向足浴保健产业需求，订单发展艾草、生姜等功能农业，建成一批集农业示范、科普教育、休闲观光等功能于一体的现代药旅融合开发示范园区。</w:t>
      </w:r>
    </w:p>
    <w:p>
      <w:pPr>
        <w:overflowPunct w:val="0"/>
        <w:ind w:firstLine="643"/>
        <w:outlineLvl w:val="2"/>
        <w:rPr>
          <w:rFonts w:ascii="楷体" w:hAnsi="楷体" w:eastAsia="楷体"/>
          <w:b w:val="0"/>
          <w:bCs/>
          <w:szCs w:val="24"/>
        </w:rPr>
      </w:pPr>
      <w:r>
        <w:rPr>
          <w:rFonts w:hint="eastAsia" w:ascii="楷体" w:hAnsi="楷体" w:eastAsia="楷体"/>
          <w:b w:val="0"/>
          <w:bCs/>
          <w:szCs w:val="24"/>
        </w:rPr>
        <w:t>（五）推动农业与电商融合发展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紧抓国家电子商务进农村综合示范县建设契机，大力发展农村电子商务和基于互联网的新业态新模式,完善县、镇、村三级电子商务服务体系，推动农产品出村进城。鼓励企业在主销区建立形象店、品牌店、直营店、特色农产品网络展销馆，拓展农产品交易渠道，打造一批专业电商村、特色电商镇。加大信息技术和电商知识培训，培养一批电商人才和管理人才，提升农村电商服务水平。到2023年，实现600家市场主体“上线”，带动就业3000人，实现销售额3.5亿元以上。</w:t>
      </w:r>
    </w:p>
    <w:p>
      <w:pPr>
        <w:overflowPunct w:val="0"/>
        <w:ind w:firstLine="643"/>
        <w:outlineLvl w:val="2"/>
        <w:rPr>
          <w:rFonts w:ascii="楷体" w:hAnsi="楷体" w:eastAsia="楷体"/>
          <w:b w:val="0"/>
          <w:bCs/>
          <w:szCs w:val="24"/>
        </w:rPr>
      </w:pPr>
      <w:r>
        <w:rPr>
          <w:rFonts w:hint="eastAsia" w:ascii="楷体" w:hAnsi="楷体" w:eastAsia="楷体"/>
          <w:b w:val="0"/>
          <w:bCs/>
          <w:szCs w:val="24"/>
        </w:rPr>
        <w:t>（六）推动农业与其他领域的融合发展</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立足优美环境、资源禀赋，深入挖掘农业农村的生态、康养、传承等多重价值，推动科技、人文等元素融入农业，稳步发展体验农业、创意农业、认购农业等新业态。开展“农业+节会”提升行动，积极策划休闲农业农事节会、乡村旅游节等农业节会活动，以农办节、以节促农，扩大农业影响力，打造具有紫阳地方特色的节庆活动品牌。</w:t>
      </w:r>
    </w:p>
    <w:tbl>
      <w:tblPr>
        <w:tblStyle w:val="16"/>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91" w:type="dxa"/>
            <w:shd w:val="clear" w:color="auto" w:fill="D0CECE" w:themeFill="background2" w:themeFillShade="E6"/>
            <w:vAlign w:val="center"/>
          </w:tcPr>
          <w:p>
            <w:pPr>
              <w:widowControl/>
              <w:spacing w:line="240" w:lineRule="auto"/>
              <w:ind w:firstLine="0" w:firstLineChars="0"/>
              <w:jc w:val="center"/>
              <w:textAlignment w:val="center"/>
              <w:rPr>
                <w:rFonts w:ascii="宋体" w:hAnsi="宋体" w:eastAsiaTheme="minorEastAsia"/>
                <w:b w:val="0"/>
                <w:bCs/>
                <w:w w:val="90"/>
                <w:sz w:val="24"/>
                <w:szCs w:val="20"/>
              </w:rPr>
            </w:pPr>
            <w:r>
              <w:rPr>
                <w:rFonts w:hint="eastAsia" w:ascii="宋体" w:hAnsi="宋体" w:cs="宋体" w:eastAsiaTheme="minorEastAsia"/>
                <w:b w:val="0"/>
                <w:bCs/>
                <w:w w:val="90"/>
                <w:kern w:val="0"/>
                <w:sz w:val="24"/>
                <w:szCs w:val="20"/>
              </w:rPr>
              <w:t>专栏5 产业融合促进行动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1" w:type="dxa"/>
          </w:tcPr>
          <w:p>
            <w:pPr>
              <w:overflowPunct w:val="0"/>
              <w:spacing w:line="240" w:lineRule="auto"/>
              <w:ind w:firstLine="437"/>
              <w:rPr>
                <w:rFonts w:ascii="宋体" w:hAnsi="宋体" w:eastAsia="宋体"/>
                <w:b w:val="0"/>
                <w:bCs/>
                <w:w w:val="90"/>
                <w:sz w:val="24"/>
                <w:szCs w:val="20"/>
              </w:rPr>
            </w:pPr>
            <w:r>
              <w:rPr>
                <w:rFonts w:hint="eastAsia" w:cs="Times New Roman" w:eastAsiaTheme="minorEastAsia"/>
                <w:b w:val="0"/>
                <w:bCs/>
                <w:w w:val="90"/>
                <w:kern w:val="0"/>
                <w:sz w:val="24"/>
                <w:szCs w:val="20"/>
              </w:rPr>
              <w:t>农产品加工提升行动：</w:t>
            </w:r>
            <w:r>
              <w:rPr>
                <w:rFonts w:hint="eastAsia" w:ascii="宋体" w:hAnsi="宋体" w:eastAsia="宋体"/>
                <w:b w:val="0"/>
                <w:bCs/>
                <w:w w:val="90"/>
                <w:sz w:val="24"/>
                <w:szCs w:val="20"/>
              </w:rPr>
              <w:t>引进新工艺、新设备，提高绿茶、红茶、白茶及其他产品加工质量，推行分级包装，提升茶叶包装设计制作的系列化、特色化、精致化水平；探索开发功能食品、化妆品等精深加工新产品。到</w:t>
            </w:r>
            <w:r>
              <w:rPr>
                <w:rFonts w:ascii="宋体" w:hAnsi="宋体" w:eastAsia="宋体"/>
                <w:b w:val="0"/>
                <w:bCs/>
                <w:w w:val="90"/>
                <w:sz w:val="24"/>
                <w:szCs w:val="20"/>
              </w:rPr>
              <w:t>202</w:t>
            </w:r>
            <w:r>
              <w:rPr>
                <w:rFonts w:hint="eastAsia" w:ascii="宋体" w:hAnsi="宋体" w:eastAsia="宋体"/>
                <w:b w:val="0"/>
                <w:bCs/>
                <w:w w:val="90"/>
                <w:sz w:val="24"/>
                <w:szCs w:val="20"/>
              </w:rPr>
              <w:t>3</w:t>
            </w:r>
            <w:r>
              <w:rPr>
                <w:rFonts w:ascii="宋体" w:hAnsi="宋体" w:eastAsia="宋体"/>
                <w:b w:val="0"/>
                <w:bCs/>
                <w:w w:val="90"/>
                <w:sz w:val="24"/>
                <w:szCs w:val="20"/>
              </w:rPr>
              <w:t>年</w:t>
            </w:r>
            <w:r>
              <w:rPr>
                <w:rFonts w:hint="eastAsia" w:ascii="宋体" w:hAnsi="宋体" w:eastAsia="宋体"/>
                <w:b w:val="0"/>
                <w:bCs/>
                <w:w w:val="90"/>
                <w:sz w:val="24"/>
                <w:szCs w:val="20"/>
              </w:rPr>
              <w:t>，</w:t>
            </w:r>
            <w:r>
              <w:rPr>
                <w:rFonts w:ascii="宋体" w:hAnsi="宋体" w:eastAsia="宋体"/>
                <w:b w:val="0"/>
                <w:bCs/>
                <w:w w:val="90"/>
                <w:sz w:val="24"/>
                <w:szCs w:val="20"/>
              </w:rPr>
              <w:t>适宜加工的茶树鲜叶资源85%</w:t>
            </w:r>
            <w:r>
              <w:rPr>
                <w:rFonts w:hint="eastAsia" w:ascii="宋体" w:hAnsi="宋体" w:eastAsia="宋体"/>
                <w:b w:val="0"/>
                <w:bCs/>
                <w:w w:val="90"/>
                <w:sz w:val="24"/>
                <w:szCs w:val="20"/>
              </w:rPr>
              <w:t>以上</w:t>
            </w:r>
            <w:r>
              <w:rPr>
                <w:rFonts w:ascii="宋体" w:hAnsi="宋体" w:eastAsia="宋体"/>
                <w:b w:val="0"/>
                <w:bCs/>
                <w:w w:val="90"/>
                <w:sz w:val="24"/>
                <w:szCs w:val="20"/>
              </w:rPr>
              <w:t>得到利用，富硒茶业产值</w:t>
            </w:r>
            <w:r>
              <w:rPr>
                <w:rFonts w:hint="eastAsia" w:ascii="宋体" w:hAnsi="宋体" w:eastAsia="宋体"/>
                <w:b w:val="0"/>
                <w:bCs/>
                <w:w w:val="90"/>
                <w:sz w:val="24"/>
                <w:szCs w:val="20"/>
              </w:rPr>
              <w:t>达到25</w:t>
            </w:r>
            <w:r>
              <w:rPr>
                <w:rFonts w:ascii="宋体" w:hAnsi="宋体" w:eastAsia="宋体"/>
                <w:b w:val="0"/>
                <w:bCs/>
                <w:w w:val="90"/>
                <w:sz w:val="24"/>
                <w:szCs w:val="20"/>
              </w:rPr>
              <w:t>亿元以上。</w:t>
            </w:r>
            <w:r>
              <w:rPr>
                <w:rFonts w:hint="eastAsia" w:ascii="宋体" w:hAnsi="宋体" w:eastAsia="宋体"/>
                <w:b w:val="0"/>
                <w:bCs/>
                <w:w w:val="90"/>
                <w:sz w:val="24"/>
                <w:szCs w:val="20"/>
              </w:rPr>
              <w:t>在巩固和提高魔芋精粉、微粉等传统产品加工的基础上，加快魔芋食品、日化用品、仿生肉制品、生物农药（魔芋生物碱）等新产品开发，加强对魔芋副产物综合利用。</w:t>
            </w:r>
          </w:p>
          <w:p>
            <w:pPr>
              <w:overflowPunct w:val="0"/>
              <w:spacing w:line="240" w:lineRule="auto"/>
              <w:ind w:firstLine="437"/>
              <w:rPr>
                <w:rFonts w:eastAsia="宋体" w:cs="Times New Roman"/>
                <w:b w:val="0"/>
                <w:bCs/>
                <w:sz w:val="24"/>
                <w:szCs w:val="21"/>
              </w:rPr>
            </w:pPr>
            <w:r>
              <w:rPr>
                <w:rFonts w:hint="eastAsia" w:ascii="宋体" w:hAnsi="宋体" w:eastAsia="宋体"/>
                <w:b w:val="0"/>
                <w:bCs/>
                <w:w w:val="90"/>
                <w:sz w:val="24"/>
                <w:szCs w:val="20"/>
              </w:rPr>
              <w:t>“新社区工厂”培育行动：积极承接产业转移，发挥人力资源优势，利用移民搬迁社区配建的商业用房、社区空置门店等闲置房屋，创办生产加工型工厂（分厂）或加工车间，推进“新社区工厂”建设，重点发展电子加工、毛绒玩具文创、农产品加工等工厂。到2023年，新培育“新社区工厂”50家以上，吸纳就业3000人以上。</w:t>
            </w:r>
          </w:p>
          <w:p>
            <w:pPr>
              <w:widowControl/>
              <w:spacing w:line="240" w:lineRule="auto"/>
              <w:ind w:firstLine="437"/>
              <w:textAlignment w:val="center"/>
              <w:rPr>
                <w:rFonts w:ascii="宋体" w:hAnsi="宋体" w:eastAsia="宋体"/>
                <w:b w:val="0"/>
                <w:bCs/>
                <w:w w:val="90"/>
                <w:sz w:val="24"/>
                <w:szCs w:val="20"/>
              </w:rPr>
            </w:pPr>
            <w:r>
              <w:rPr>
                <w:rFonts w:hint="eastAsia" w:ascii="宋体" w:hAnsi="宋体" w:eastAsia="宋体"/>
                <w:b w:val="0"/>
                <w:bCs/>
                <w:w w:val="90"/>
                <w:sz w:val="24"/>
                <w:szCs w:val="20"/>
              </w:rPr>
              <w:t>富硒茶产业链延伸行动：建设综合交易区、科技商务会展区、综合服务区、生活配套区、富硒茶深加工区、农产品加工区“六大功能区”，打造全国富硒茶标准化检测、批发交易、价格形成、信息发布、科技研发和会展“六大中心”。</w:t>
            </w:r>
          </w:p>
          <w:p>
            <w:pPr>
              <w:widowControl/>
              <w:spacing w:line="240" w:lineRule="auto"/>
              <w:ind w:firstLine="437"/>
              <w:textAlignment w:val="center"/>
              <w:rPr>
                <w:rFonts w:ascii="宋体" w:hAnsi="宋体" w:eastAsia="宋体"/>
                <w:b w:val="0"/>
                <w:bCs/>
                <w:w w:val="90"/>
                <w:sz w:val="24"/>
                <w:szCs w:val="20"/>
              </w:rPr>
            </w:pPr>
            <w:r>
              <w:rPr>
                <w:rFonts w:hint="eastAsia" w:cs="Times New Roman" w:eastAsiaTheme="minorEastAsia"/>
                <w:b w:val="0"/>
                <w:bCs/>
                <w:w w:val="90"/>
                <w:kern w:val="0"/>
                <w:sz w:val="24"/>
                <w:szCs w:val="20"/>
              </w:rPr>
              <w:t>农旅融合突破发展行动：推进</w:t>
            </w:r>
            <w:r>
              <w:rPr>
                <w:rFonts w:hint="eastAsia" w:ascii="宋体" w:hAnsi="宋体" w:eastAsia="宋体"/>
                <w:b w:val="0"/>
                <w:bCs/>
                <w:w w:val="90"/>
                <w:sz w:val="24"/>
                <w:szCs w:val="20"/>
              </w:rPr>
              <w:t>硒茶小镇、高桥田园生态小镇、蒿坪富硒康养小镇等特色小镇建设；以农业园区为载体</w:t>
            </w:r>
            <w:r>
              <w:rPr>
                <w:rFonts w:eastAsia="宋体" w:cs="Times New Roman"/>
                <w:b w:val="0"/>
                <w:bCs/>
                <w:w w:val="90"/>
                <w:sz w:val="24"/>
                <w:szCs w:val="20"/>
              </w:rPr>
              <w:t>，培育3个</w:t>
            </w:r>
            <w:r>
              <w:rPr>
                <w:rFonts w:hint="eastAsia" w:eastAsia="宋体" w:cs="Times New Roman"/>
                <w:b w:val="0"/>
                <w:bCs/>
                <w:w w:val="90"/>
                <w:sz w:val="24"/>
                <w:szCs w:val="20"/>
              </w:rPr>
              <w:t>以上</w:t>
            </w:r>
            <w:r>
              <w:rPr>
                <w:rFonts w:eastAsia="宋体" w:cs="Times New Roman"/>
                <w:b w:val="0"/>
                <w:bCs/>
                <w:w w:val="90"/>
                <w:sz w:val="24"/>
                <w:szCs w:val="20"/>
              </w:rPr>
              <w:t>田园综合体；</w:t>
            </w:r>
            <w:r>
              <w:rPr>
                <w:rFonts w:hint="eastAsia" w:eastAsia="宋体" w:cs="Times New Roman"/>
                <w:b w:val="0"/>
                <w:bCs/>
                <w:w w:val="90"/>
                <w:sz w:val="24"/>
                <w:szCs w:val="20"/>
              </w:rPr>
              <w:t>围绕</w:t>
            </w:r>
            <w:r>
              <w:rPr>
                <w:rFonts w:eastAsia="宋体" w:cs="Times New Roman"/>
                <w:b w:val="0"/>
                <w:bCs/>
                <w:w w:val="90"/>
                <w:sz w:val="24"/>
                <w:szCs w:val="20"/>
              </w:rPr>
              <w:t>高速路、541国道沿线、汉江画廊主要节点，培育20个以上生态旅游村。</w:t>
            </w:r>
            <w:r>
              <w:rPr>
                <w:rFonts w:hint="eastAsia" w:cs="Times New Roman" w:eastAsiaTheme="minorEastAsia"/>
                <w:b w:val="0"/>
                <w:bCs/>
                <w:w w:val="90"/>
                <w:kern w:val="0"/>
                <w:sz w:val="24"/>
                <w:szCs w:val="20"/>
              </w:rPr>
              <w:t>在双安建集生态旅游观光、休闲度假、商务洽谈、富硒餐饮、硒生态疗养等功能于一体的综合休闲度假区。</w:t>
            </w:r>
          </w:p>
          <w:p>
            <w:pPr>
              <w:widowControl/>
              <w:spacing w:line="240" w:lineRule="auto"/>
              <w:ind w:firstLine="437"/>
              <w:textAlignment w:val="center"/>
              <w:rPr>
                <w:rFonts w:asciiTheme="minorHAnsi" w:hAnsiTheme="minorHAnsi" w:eastAsiaTheme="minorEastAsia"/>
                <w:b w:val="0"/>
                <w:bCs/>
                <w:sz w:val="21"/>
              </w:rPr>
            </w:pPr>
            <w:r>
              <w:rPr>
                <w:rFonts w:hint="eastAsia" w:ascii="宋体" w:hAnsi="宋体" w:eastAsia="宋体"/>
                <w:b w:val="0"/>
                <w:bCs/>
                <w:w w:val="90"/>
                <w:sz w:val="24"/>
                <w:szCs w:val="20"/>
              </w:rPr>
              <w:t>智慧物流平台建设行动：推广邮呗智慧物流共享平台应用，建立连通商品与消费者的物流通道，为消费者和农业、商品制造商搭建互利桥梁。</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康养示范园区建设行动：新建中药材种植园1000亩，建成集农业示范、科普教育、休闲观光等功能于一体的现代药旅融合开发园。联合开发一批医食养生、山水休闲为一体的精品旅游基地，重点开发修脚足浴、推拿按摩、针刺艾灸、拔罐药浴、药膳美食等养生保健旅游系列产品。</w:t>
            </w:r>
          </w:p>
        </w:tc>
      </w:tr>
    </w:tbl>
    <w:p>
      <w:pPr>
        <w:spacing w:before="360" w:beforeLines="150" w:after="120" w:afterLines="50" w:line="360" w:lineRule="auto"/>
        <w:ind w:firstLine="640"/>
        <w:jc w:val="center"/>
        <w:rPr>
          <w:rFonts w:ascii="黑体" w:hAnsi="黑体" w:eastAsia="黑体"/>
          <w:b w:val="0"/>
          <w:bCs/>
          <w:szCs w:val="32"/>
        </w:rPr>
        <w:sectPr>
          <w:footerReference r:id="rId20" w:type="first"/>
          <w:footerReference r:id="rId19"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171" w:name="_Toc12549176"/>
      <w:bookmarkStart w:id="172" w:name="_Toc7946169"/>
      <w:bookmarkStart w:id="173" w:name="_Toc10545874"/>
      <w:bookmarkStart w:id="174" w:name="_Toc769"/>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175" w:name="_Toc5092"/>
      <w:bookmarkStart w:id="176" w:name="_Toc9936"/>
      <w:bookmarkStart w:id="177" w:name="_Toc31361"/>
      <w:r>
        <w:rPr>
          <w:rFonts w:hint="eastAsia" w:ascii="黑体" w:hAnsi="黑体" w:eastAsia="黑体"/>
          <w:b w:val="0"/>
          <w:bCs/>
          <w:szCs w:val="32"/>
        </w:rPr>
        <w:t xml:space="preserve">第六章 </w:t>
      </w:r>
      <w:bookmarkEnd w:id="171"/>
      <w:bookmarkEnd w:id="172"/>
      <w:bookmarkEnd w:id="173"/>
      <w:r>
        <w:rPr>
          <w:rFonts w:hint="eastAsia" w:ascii="黑体" w:hAnsi="黑体" w:eastAsia="黑体"/>
          <w:b w:val="0"/>
          <w:bCs/>
          <w:szCs w:val="32"/>
        </w:rPr>
        <w:t>彰显巴山汉水特色 建设生态美丽宜居乡村</w:t>
      </w:r>
      <w:bookmarkEnd w:id="174"/>
      <w:bookmarkEnd w:id="175"/>
      <w:bookmarkEnd w:id="176"/>
      <w:bookmarkEnd w:id="177"/>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认真践行绿水青山就是金山银山理念，切实尊重自然、顺应自然、保护自然，推动乡村绿色发展，打造农民安居乐业美丽新家园，让良好生态成为乡村振兴的重要支撑。</w:t>
      </w:r>
    </w:p>
    <w:p>
      <w:pPr>
        <w:ind w:firstLine="640"/>
        <w:outlineLvl w:val="1"/>
        <w:rPr>
          <w:rFonts w:ascii="黑体" w:hAnsi="黑体" w:eastAsia="黑体"/>
          <w:b w:val="0"/>
          <w:bCs/>
        </w:rPr>
      </w:pPr>
      <w:bookmarkStart w:id="178" w:name="_Toc10545875"/>
      <w:bookmarkStart w:id="179" w:name="_Toc12549177"/>
      <w:bookmarkStart w:id="180" w:name="_Toc7946170"/>
      <w:bookmarkStart w:id="181" w:name="_Toc25349"/>
      <w:bookmarkStart w:id="182" w:name="_Toc8058"/>
      <w:bookmarkStart w:id="183" w:name="_Toc21147"/>
      <w:bookmarkStart w:id="184" w:name="_Toc23255"/>
      <w:r>
        <w:rPr>
          <w:rFonts w:hint="eastAsia" w:ascii="黑体" w:hAnsi="黑体" w:eastAsia="黑体"/>
          <w:b w:val="0"/>
          <w:bCs/>
        </w:rPr>
        <w:t>一、推进农业绿色发展</w:t>
      </w:r>
      <w:bookmarkEnd w:id="178"/>
      <w:bookmarkEnd w:id="179"/>
      <w:bookmarkEnd w:id="180"/>
      <w:bookmarkEnd w:id="181"/>
      <w:bookmarkEnd w:id="182"/>
      <w:bookmarkEnd w:id="183"/>
      <w:bookmarkEnd w:id="184"/>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以生态环境友好和资源永续利用为导向，推动形成农业绿色生产方式，实现投入品减量化、生产清洁化、废弃物资源化、产业模式生态化，提高农业可持续发展能力。</w:t>
      </w:r>
    </w:p>
    <w:p>
      <w:pPr>
        <w:numPr>
          <w:ilvl w:val="0"/>
          <w:numId w:val="2"/>
        </w:numPr>
        <w:overflowPunct w:val="0"/>
        <w:ind w:firstLine="643"/>
        <w:outlineLvl w:val="2"/>
        <w:rPr>
          <w:rFonts w:ascii="楷体" w:hAnsi="楷体" w:eastAsia="楷体"/>
          <w:b w:val="0"/>
          <w:bCs/>
          <w:szCs w:val="24"/>
        </w:rPr>
      </w:pPr>
      <w:r>
        <w:rPr>
          <w:rFonts w:hint="eastAsia" w:ascii="楷体" w:hAnsi="楷体" w:eastAsia="楷体"/>
          <w:b w:val="0"/>
          <w:bCs/>
          <w:szCs w:val="24"/>
        </w:rPr>
        <w:t>推动全域绿色生产体系建设</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秉承全域绿色发展理念，不断彰显生态优势，遵循科技革命和产业变革方向，牢牢守住发展和生态两条底线，把转变发展方式、调整经济结构、发展绿色经济作为抢抓未来发展新机遇的重要手段。围绕富硒农业，优化富硒茶、绞股蓝等特色优势农产品生产布局，实现全域绿色发展。聚焦农产品加工，大力发展有机农业和功能农业，推动紫阳所有农产品及加工制品都达到国家绿色标准。</w:t>
      </w:r>
    </w:p>
    <w:p>
      <w:pPr>
        <w:overflowPunct w:val="0"/>
        <w:ind w:firstLine="643"/>
        <w:outlineLvl w:val="2"/>
        <w:rPr>
          <w:rFonts w:ascii="楷体" w:hAnsi="楷体" w:eastAsia="楷体"/>
          <w:b w:val="0"/>
          <w:bCs/>
          <w:szCs w:val="24"/>
        </w:rPr>
      </w:pPr>
      <w:bookmarkStart w:id="185" w:name="_Toc10545876"/>
      <w:bookmarkStart w:id="186" w:name="_Toc7946171"/>
      <w:bookmarkStart w:id="187" w:name="_Toc12549178"/>
      <w:r>
        <w:rPr>
          <w:rFonts w:hint="eastAsia" w:ascii="楷体" w:hAnsi="楷体" w:eastAsia="楷体"/>
          <w:b w:val="0"/>
          <w:bCs/>
          <w:szCs w:val="24"/>
        </w:rPr>
        <w:t>（二）强化农业资源保护与节约利用</w:t>
      </w:r>
      <w:bookmarkEnd w:id="185"/>
      <w:bookmarkEnd w:id="186"/>
      <w:bookmarkEnd w:id="187"/>
    </w:p>
    <w:p>
      <w:pPr>
        <w:ind w:firstLine="640"/>
        <w:rPr>
          <w:rFonts w:eastAsia="宋体" w:cs="Times New Roman"/>
          <w:b w:val="0"/>
          <w:bCs/>
          <w:szCs w:val="24"/>
        </w:rPr>
      </w:pPr>
      <w:r>
        <w:rPr>
          <w:rFonts w:hint="eastAsia" w:ascii="仿宋_GB2312" w:hAnsi="仿宋_GB2312" w:eastAsia="仿宋_GB2312" w:cs="仿宋_GB2312"/>
          <w:b w:val="0"/>
          <w:bCs/>
          <w:szCs w:val="24"/>
        </w:rPr>
        <w:t>建立农业资源环境管控和保护制度，推行农业产业准入负面清单制度，明确种养产业发展方向和强度。严格控制未利用土地开垦，落实和完善耕地占补平衡制度，推进建设占用耕地耕作层土壤剥离再利用。贯彻落实最严格的水资源管理制度，实行农业灌溉用水总量控制、定额管理、计量使用。实施农业节水行动，建设节水型乡村。到2020年，农业灌溉水有效利用系数提高到0.6。</w:t>
      </w:r>
    </w:p>
    <w:p>
      <w:pPr>
        <w:spacing w:before="120" w:beforeLines="50" w:line="240" w:lineRule="auto"/>
        <w:ind w:firstLine="0" w:firstLineChars="0"/>
        <w:jc w:val="center"/>
        <w:rPr>
          <w:rFonts w:cs="Times New Roman" w:eastAsiaTheme="minorEastAsia"/>
          <w:b w:val="0"/>
          <w:bCs/>
          <w:w w:val="90"/>
          <w:sz w:val="24"/>
          <w:szCs w:val="24"/>
        </w:rPr>
      </w:pPr>
      <w:r>
        <w:rPr>
          <w:rFonts w:hint="eastAsia" w:cs="Times New Roman" w:eastAsiaTheme="minorEastAsia"/>
          <w:b w:val="0"/>
          <w:bCs/>
          <w:w w:val="90"/>
          <w:sz w:val="24"/>
          <w:szCs w:val="24"/>
        </w:rPr>
        <w:t>表</w:t>
      </w:r>
      <w:r>
        <w:rPr>
          <w:rFonts w:cs="Times New Roman" w:eastAsiaTheme="minorEastAsia"/>
          <w:b w:val="0"/>
          <w:bCs/>
          <w:w w:val="90"/>
          <w:sz w:val="24"/>
          <w:szCs w:val="24"/>
        </w:rPr>
        <w:t>6</w:t>
      </w:r>
      <w:r>
        <w:rPr>
          <w:rFonts w:hint="eastAsia" w:cs="Times New Roman" w:eastAsiaTheme="minorEastAsia"/>
          <w:b w:val="0"/>
          <w:bCs/>
          <w:w w:val="90"/>
          <w:sz w:val="24"/>
          <w:szCs w:val="24"/>
        </w:rPr>
        <w:t xml:space="preserve">-1 </w:t>
      </w:r>
      <w:r>
        <w:rPr>
          <w:rFonts w:cs="Times New Roman" w:eastAsiaTheme="minorEastAsia"/>
          <w:b w:val="0"/>
          <w:bCs/>
          <w:w w:val="90"/>
          <w:sz w:val="24"/>
          <w:szCs w:val="24"/>
        </w:rPr>
        <w:t>紫阳县2015年、2020年和2030年用水总量控制</w:t>
      </w:r>
      <w:r>
        <w:rPr>
          <w:rFonts w:hint="eastAsia" w:cs="Times New Roman" w:eastAsiaTheme="minorEastAsia"/>
          <w:b w:val="0"/>
          <w:bCs/>
          <w:w w:val="90"/>
          <w:sz w:val="24"/>
          <w:szCs w:val="24"/>
        </w:rPr>
        <w:t xml:space="preserve">情况 </w:t>
      </w:r>
    </w:p>
    <w:p>
      <w:pPr>
        <w:spacing w:before="120" w:beforeLines="50" w:line="240" w:lineRule="auto"/>
        <w:ind w:firstLine="0" w:firstLineChars="0"/>
        <w:jc w:val="center"/>
        <w:rPr>
          <w:rFonts w:cs="Times New Roman" w:eastAsiaTheme="minorEastAsia"/>
          <w:b w:val="0"/>
          <w:bCs/>
          <w:w w:val="90"/>
          <w:sz w:val="18"/>
          <w:szCs w:val="18"/>
        </w:rPr>
      </w:pPr>
      <w:r>
        <w:rPr>
          <w:rFonts w:hint="eastAsia" w:cs="Times New Roman" w:eastAsiaTheme="minorEastAsia"/>
          <w:b w:val="0"/>
          <w:bCs/>
          <w:w w:val="90"/>
          <w:sz w:val="21"/>
          <w:szCs w:val="21"/>
        </w:rPr>
        <w:t xml:space="preserve">                                                         </w:t>
      </w:r>
      <w:r>
        <w:rPr>
          <w:rFonts w:hint="eastAsia" w:cs="Times New Roman" w:eastAsiaTheme="minorEastAsia"/>
          <w:b w:val="0"/>
          <w:bCs/>
          <w:w w:val="90"/>
          <w:sz w:val="18"/>
          <w:szCs w:val="18"/>
        </w:rPr>
        <w:t xml:space="preserve"> 单位：万吨</w:t>
      </w:r>
    </w:p>
    <w:tbl>
      <w:tblPr>
        <w:tblStyle w:val="16"/>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237"/>
        <w:gridCol w:w="1213"/>
        <w:gridCol w:w="1550"/>
        <w:gridCol w:w="1587"/>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年份</w:t>
            </w:r>
          </w:p>
        </w:tc>
        <w:tc>
          <w:tcPr>
            <w:tcW w:w="1237"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总用水量</w:t>
            </w:r>
            <w:r>
              <w:rPr>
                <w:rFonts w:hint="eastAsia" w:cs="Times New Roman" w:eastAsiaTheme="minorEastAsia"/>
                <w:b w:val="0"/>
                <w:bCs/>
                <w:w w:val="90"/>
                <w:sz w:val="24"/>
                <w:szCs w:val="24"/>
              </w:rPr>
              <w:t xml:space="preserve">  </w:t>
            </w:r>
          </w:p>
        </w:tc>
        <w:tc>
          <w:tcPr>
            <w:tcW w:w="1213"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生态补水</w:t>
            </w:r>
          </w:p>
        </w:tc>
        <w:tc>
          <w:tcPr>
            <w:tcW w:w="1550" w:type="dxa"/>
            <w:shd w:val="clear" w:color="auto" w:fill="D0CECE" w:themeFill="background2" w:themeFillShade="E6"/>
            <w:vAlign w:val="center"/>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农业用水</w:t>
            </w:r>
          </w:p>
        </w:tc>
        <w:tc>
          <w:tcPr>
            <w:tcW w:w="1587" w:type="dxa"/>
            <w:shd w:val="clear" w:color="auto" w:fill="D0CECE" w:themeFill="background2" w:themeFillShade="E6"/>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工业及服务业用水</w:t>
            </w:r>
          </w:p>
        </w:tc>
        <w:tc>
          <w:tcPr>
            <w:tcW w:w="1682" w:type="dxa"/>
            <w:shd w:val="clear" w:color="auto" w:fill="D0CECE" w:themeFill="background2" w:themeFillShade="E6"/>
            <w:vAlign w:val="center"/>
          </w:tcPr>
          <w:p>
            <w:pPr>
              <w:spacing w:line="240" w:lineRule="auto"/>
              <w:ind w:left="216" w:hanging="216" w:hangingChars="100"/>
              <w:jc w:val="center"/>
              <w:rPr>
                <w:rFonts w:cs="Times New Roman" w:eastAsiaTheme="minorEastAsia"/>
                <w:b w:val="0"/>
                <w:bCs/>
                <w:w w:val="90"/>
                <w:sz w:val="24"/>
                <w:szCs w:val="24"/>
              </w:rPr>
            </w:pPr>
            <w:r>
              <w:rPr>
                <w:rFonts w:cs="Times New Roman" w:eastAsiaTheme="minorEastAsia"/>
                <w:b w:val="0"/>
                <w:bCs/>
                <w:w w:val="90"/>
                <w:sz w:val="24"/>
                <w:szCs w:val="24"/>
              </w:rPr>
              <w:t>城乡生活用水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3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2015</w:t>
            </w:r>
          </w:p>
        </w:tc>
        <w:tc>
          <w:tcPr>
            <w:tcW w:w="123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674</w:t>
            </w:r>
            <w:r>
              <w:rPr>
                <w:rFonts w:hint="eastAsia" w:cs="Times New Roman" w:eastAsiaTheme="minorEastAsia"/>
                <w:b w:val="0"/>
                <w:bCs/>
                <w:w w:val="90"/>
                <w:sz w:val="24"/>
                <w:szCs w:val="24"/>
              </w:rPr>
              <w:t>0</w:t>
            </w:r>
          </w:p>
        </w:tc>
        <w:tc>
          <w:tcPr>
            <w:tcW w:w="1213"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23</w:t>
            </w:r>
          </w:p>
        </w:tc>
        <w:tc>
          <w:tcPr>
            <w:tcW w:w="15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5142</w:t>
            </w:r>
          </w:p>
        </w:tc>
        <w:tc>
          <w:tcPr>
            <w:tcW w:w="158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535</w:t>
            </w:r>
          </w:p>
        </w:tc>
        <w:tc>
          <w:tcPr>
            <w:tcW w:w="1682"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2020</w:t>
            </w:r>
          </w:p>
        </w:tc>
        <w:tc>
          <w:tcPr>
            <w:tcW w:w="123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7335</w:t>
            </w:r>
          </w:p>
        </w:tc>
        <w:tc>
          <w:tcPr>
            <w:tcW w:w="1213"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25</w:t>
            </w:r>
          </w:p>
        </w:tc>
        <w:tc>
          <w:tcPr>
            <w:tcW w:w="15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5595</w:t>
            </w:r>
          </w:p>
        </w:tc>
        <w:tc>
          <w:tcPr>
            <w:tcW w:w="158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585</w:t>
            </w:r>
          </w:p>
        </w:tc>
        <w:tc>
          <w:tcPr>
            <w:tcW w:w="1682"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2030</w:t>
            </w:r>
          </w:p>
        </w:tc>
        <w:tc>
          <w:tcPr>
            <w:tcW w:w="123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7750</w:t>
            </w:r>
          </w:p>
        </w:tc>
        <w:tc>
          <w:tcPr>
            <w:tcW w:w="1213"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27</w:t>
            </w:r>
          </w:p>
        </w:tc>
        <w:tc>
          <w:tcPr>
            <w:tcW w:w="1550"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5911</w:t>
            </w:r>
          </w:p>
        </w:tc>
        <w:tc>
          <w:tcPr>
            <w:tcW w:w="1587"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618</w:t>
            </w:r>
          </w:p>
        </w:tc>
        <w:tc>
          <w:tcPr>
            <w:tcW w:w="1682" w:type="dxa"/>
            <w:vAlign w:val="bottom"/>
          </w:tcPr>
          <w:p>
            <w:pPr>
              <w:spacing w:line="240" w:lineRule="auto"/>
              <w:ind w:firstLine="0" w:firstLineChars="0"/>
              <w:jc w:val="center"/>
              <w:rPr>
                <w:rFonts w:cs="Times New Roman" w:eastAsiaTheme="minorEastAsia"/>
                <w:b w:val="0"/>
                <w:bCs/>
                <w:w w:val="90"/>
                <w:sz w:val="24"/>
                <w:szCs w:val="24"/>
              </w:rPr>
            </w:pPr>
            <w:r>
              <w:rPr>
                <w:rFonts w:cs="Times New Roman" w:eastAsiaTheme="minorEastAsia"/>
                <w:b w:val="0"/>
                <w:bCs/>
                <w:w w:val="90"/>
                <w:sz w:val="24"/>
                <w:szCs w:val="24"/>
              </w:rPr>
              <w:t>1194</w:t>
            </w:r>
          </w:p>
        </w:tc>
      </w:tr>
    </w:tbl>
    <w:p>
      <w:pPr>
        <w:overflowPunct w:val="0"/>
        <w:ind w:firstLine="643"/>
        <w:outlineLvl w:val="2"/>
        <w:rPr>
          <w:rFonts w:ascii="楷体" w:hAnsi="楷体" w:eastAsia="楷体"/>
          <w:b w:val="0"/>
          <w:bCs/>
          <w:szCs w:val="24"/>
        </w:rPr>
      </w:pPr>
      <w:bookmarkStart w:id="188" w:name="_Toc10545878"/>
      <w:bookmarkStart w:id="189" w:name="_Toc7946173"/>
      <w:bookmarkStart w:id="190" w:name="_Toc12549180"/>
      <w:r>
        <w:rPr>
          <w:rFonts w:hint="eastAsia" w:ascii="楷体" w:hAnsi="楷体" w:eastAsia="楷体"/>
          <w:b w:val="0"/>
          <w:bCs/>
          <w:szCs w:val="24"/>
        </w:rPr>
        <w:t>（三）实施农药化肥零增长计划</w:t>
      </w:r>
      <w:bookmarkEnd w:id="188"/>
      <w:bookmarkEnd w:id="189"/>
      <w:bookmarkEnd w:id="190"/>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特色优势产业为重点，实施测土配方施肥工程，推行测、配、产、供、施一体化服务，改进施肥方法，实施有机肥替代化肥行动，实现化肥减量增效。建立“农药监管图”，确保限制使用农药来源可追溯、质量有保证、去向可追踪、风险可防控，实现以图管药。到2023年，肥料转化利用率达到40%以上，测土配方施肥技术推广覆盖率达到90%以上，主要农作物病虫害绿色防控覆盖率达到50%以上，化肥农药施用量实现零增长。</w:t>
      </w:r>
    </w:p>
    <w:p>
      <w:pPr>
        <w:overflowPunct w:val="0"/>
        <w:ind w:firstLine="643"/>
        <w:outlineLvl w:val="2"/>
        <w:rPr>
          <w:rFonts w:ascii="楷体" w:hAnsi="楷体" w:eastAsia="楷体"/>
          <w:b w:val="0"/>
          <w:bCs/>
          <w:szCs w:val="24"/>
        </w:rPr>
      </w:pPr>
      <w:r>
        <w:rPr>
          <w:rFonts w:hint="eastAsia" w:ascii="楷体" w:hAnsi="楷体" w:eastAsia="楷体"/>
          <w:b w:val="0"/>
          <w:bCs/>
          <w:szCs w:val="24"/>
        </w:rPr>
        <w:t>（四）集中治理农业环境突出问题</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加强农业面源污染治理，实施源头控制、过程拦截、末端治理与循环利用相结合的综合防治措施，全力推进畜禽粪污资源化利用、果蔬茶废弃物综合利用，积极探索“生猪养殖基地+生物天然气项目+林果种植基地”等模式，推广种养结合、综合利用、生态循环。到2023年全县畜禽粪污综合利用率达80%以上。深入实施土壤污染环境防治行动计划，大力推进重金属污染耕地修复和种植结构调整。</w:t>
      </w:r>
    </w:p>
    <w:tbl>
      <w:tblPr>
        <w:tblStyle w:val="1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8653" w:type="dxa"/>
            <w:shd w:val="clear" w:color="auto" w:fill="D0CECE" w:themeFill="background2" w:themeFillShade="E6"/>
            <w:vAlign w:val="center"/>
          </w:tcPr>
          <w:p>
            <w:pPr>
              <w:spacing w:line="240" w:lineRule="auto"/>
              <w:ind w:firstLine="0" w:firstLineChars="0"/>
              <w:jc w:val="center"/>
              <w:rPr>
                <w:rFonts w:eastAsia="宋体" w:cs="Times New Roman"/>
                <w:b w:val="0"/>
                <w:bCs/>
                <w:sz w:val="24"/>
                <w:szCs w:val="20"/>
              </w:rPr>
            </w:pPr>
            <w:r>
              <w:rPr>
                <w:rFonts w:hint="eastAsia" w:ascii="宋体" w:hAnsi="宋体" w:cs="宋体" w:eastAsiaTheme="minorEastAsia"/>
                <w:b w:val="0"/>
                <w:bCs/>
                <w:w w:val="90"/>
                <w:kern w:val="0"/>
                <w:sz w:val="24"/>
                <w:szCs w:val="20"/>
              </w:rPr>
              <w:t>专栏6 农业绿色发展行动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8653" w:type="dxa"/>
          </w:tcPr>
          <w:p>
            <w:pPr>
              <w:spacing w:line="240" w:lineRule="auto"/>
              <w:ind w:firstLine="437"/>
              <w:rPr>
                <w:rFonts w:ascii="宋体" w:hAnsi="宋体" w:cs="宋体" w:eastAsiaTheme="minorEastAsia"/>
                <w:b w:val="0"/>
                <w:bCs/>
                <w:w w:val="90"/>
                <w:kern w:val="0"/>
                <w:sz w:val="24"/>
                <w:szCs w:val="20"/>
              </w:rPr>
            </w:pPr>
            <w:r>
              <w:rPr>
                <w:rFonts w:ascii="宋体" w:hAnsi="宋体" w:cs="宋体" w:eastAsiaTheme="minorEastAsia"/>
                <w:b w:val="0"/>
                <w:bCs/>
                <w:w w:val="90"/>
                <w:kern w:val="0"/>
                <w:sz w:val="24"/>
                <w:szCs w:val="20"/>
              </w:rPr>
              <w:t>农业废弃物资源化利用</w:t>
            </w:r>
            <w:r>
              <w:rPr>
                <w:rFonts w:hint="eastAsia" w:ascii="宋体" w:hAnsi="宋体" w:cs="宋体" w:eastAsiaTheme="minorEastAsia"/>
                <w:b w:val="0"/>
                <w:bCs/>
                <w:w w:val="90"/>
                <w:kern w:val="0"/>
                <w:sz w:val="24"/>
                <w:szCs w:val="20"/>
              </w:rPr>
              <w:t>行动</w:t>
            </w:r>
            <w:r>
              <w:rPr>
                <w:rFonts w:ascii="宋体" w:hAnsi="宋体" w:cs="宋体" w:eastAsiaTheme="minorEastAsia"/>
                <w:b w:val="0"/>
                <w:bCs/>
                <w:w w:val="90"/>
                <w:kern w:val="0"/>
                <w:sz w:val="24"/>
                <w:szCs w:val="20"/>
              </w:rPr>
              <w:t>：重点聚焦果蔬茶、畜禽粪污等废弃物的资源化综合利用，以就地消纳、能量循环、综合利用为主线，采取政府支持、市场运作、社会参与、分布实施的方法，构建县域农业废弃物资源化利用长效机制</w:t>
            </w:r>
            <w:r>
              <w:rPr>
                <w:rFonts w:hint="eastAsia" w:ascii="宋体" w:hAnsi="宋体" w:cs="宋体" w:eastAsiaTheme="minorEastAsia"/>
                <w:b w:val="0"/>
                <w:bCs/>
                <w:w w:val="90"/>
                <w:kern w:val="0"/>
                <w:sz w:val="24"/>
                <w:szCs w:val="20"/>
              </w:rPr>
              <w:t>。</w:t>
            </w:r>
          </w:p>
          <w:p>
            <w:pPr>
              <w:spacing w:line="240" w:lineRule="auto"/>
              <w:ind w:firstLine="437"/>
              <w:rPr>
                <w:rFonts w:ascii="宋体" w:hAnsi="宋体" w:cs="宋体" w:eastAsiaTheme="minorEastAsia"/>
                <w:b w:val="0"/>
                <w:bCs/>
                <w:w w:val="90"/>
                <w:kern w:val="0"/>
                <w:sz w:val="24"/>
                <w:szCs w:val="20"/>
              </w:rPr>
            </w:pPr>
            <w:r>
              <w:rPr>
                <w:rFonts w:hint="eastAsia" w:ascii="宋体" w:hAnsi="宋体" w:cs="宋体" w:eastAsiaTheme="minorEastAsia"/>
                <w:b w:val="0"/>
                <w:bCs/>
                <w:w w:val="90"/>
                <w:kern w:val="0"/>
                <w:sz w:val="24"/>
                <w:szCs w:val="20"/>
              </w:rPr>
              <w:t>生态循环农业模式推广行动：积极探索“生猪养殖基地+生物天然气项目+林果种植基地”模式，推广种养结合、综合利用、生态循环。</w:t>
            </w:r>
          </w:p>
        </w:tc>
      </w:tr>
    </w:tbl>
    <w:p>
      <w:pPr>
        <w:ind w:firstLine="640"/>
        <w:outlineLvl w:val="1"/>
        <w:rPr>
          <w:rFonts w:ascii="黑体" w:hAnsi="黑体" w:eastAsia="黑体"/>
          <w:b w:val="0"/>
          <w:bCs/>
        </w:rPr>
      </w:pPr>
      <w:bookmarkStart w:id="191" w:name="_Toc7946176"/>
      <w:bookmarkStart w:id="192" w:name="_Toc26519"/>
      <w:bookmarkStart w:id="193" w:name="_Toc32710"/>
      <w:bookmarkStart w:id="194" w:name="_Toc10545881"/>
      <w:bookmarkStart w:id="195" w:name="_Toc6169"/>
      <w:bookmarkStart w:id="196" w:name="_Toc14021"/>
      <w:bookmarkStart w:id="197" w:name="_Toc12549183"/>
      <w:r>
        <w:rPr>
          <w:rFonts w:hint="eastAsia" w:ascii="黑体" w:hAnsi="黑体" w:eastAsia="黑体"/>
          <w:b w:val="0"/>
          <w:bCs/>
        </w:rPr>
        <w:t>二、实施人居环境提升行动</w:t>
      </w:r>
      <w:bookmarkEnd w:id="191"/>
      <w:bookmarkEnd w:id="192"/>
      <w:bookmarkEnd w:id="193"/>
      <w:bookmarkEnd w:id="194"/>
      <w:bookmarkEnd w:id="195"/>
      <w:bookmarkEnd w:id="196"/>
      <w:bookmarkEnd w:id="197"/>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以农村生活垃圾、污水治理、厕所革命和村容村貌提升为主攻方向，深入实施人居环境综合提升行动，实现农村人居环境明显改善，村庄环境基本干净整洁，农民环保意识普遍增强。</w:t>
      </w:r>
    </w:p>
    <w:p>
      <w:pPr>
        <w:overflowPunct w:val="0"/>
        <w:ind w:firstLine="643"/>
        <w:outlineLvl w:val="2"/>
        <w:rPr>
          <w:rFonts w:ascii="楷体" w:hAnsi="楷体" w:eastAsia="楷体"/>
          <w:b w:val="0"/>
          <w:bCs/>
          <w:szCs w:val="24"/>
        </w:rPr>
      </w:pPr>
      <w:bookmarkStart w:id="198" w:name="_Toc10545882"/>
      <w:bookmarkStart w:id="199" w:name="_Toc7946177"/>
      <w:bookmarkStart w:id="200" w:name="_Toc12549184"/>
      <w:r>
        <w:rPr>
          <w:rFonts w:hint="eastAsia" w:ascii="楷体" w:hAnsi="楷体" w:eastAsia="楷体"/>
          <w:b w:val="0"/>
          <w:bCs/>
          <w:szCs w:val="24"/>
        </w:rPr>
        <w:t>（一）全面推进生活垃圾治理</w:t>
      </w:r>
      <w:bookmarkEnd w:id="198"/>
      <w:bookmarkEnd w:id="199"/>
      <w:bookmarkEnd w:id="200"/>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实施全域无垃圾专项治理行动，完善“户收集、村集中、镇</w:t>
      </w:r>
      <w:r>
        <w:rPr>
          <w:rFonts w:hint="eastAsia" w:ascii="仿宋_GB2312" w:hAnsi="仿宋_GB2312" w:eastAsia="仿宋_GB2312" w:cs="仿宋_GB2312"/>
          <w:b w:val="0"/>
          <w:bCs/>
          <w:szCs w:val="24"/>
          <w:lang w:eastAsia="zh-CN"/>
        </w:rPr>
        <w:t>压缩、县转运</w:t>
      </w:r>
      <w:r>
        <w:rPr>
          <w:rFonts w:hint="eastAsia" w:ascii="仿宋_GB2312" w:hAnsi="仿宋_GB2312" w:eastAsia="仿宋_GB2312" w:cs="仿宋_GB2312"/>
          <w:b w:val="0"/>
          <w:bCs/>
          <w:szCs w:val="24"/>
        </w:rPr>
        <w:t>”模式，突出垃圾分类收集、资源化利用、无害化处理，推广密闭式垃圾收集容器和转运车辆，分区域建设再生资源回收利用站、压缩式垃圾中转站。积极探索市场化运作模式，有条件的镇村，通过向第三方购买服务方式解决农村垃圾的收集、清运、处理，确保生活垃圾“日产日清”。到2023年，自然村垃圾集中收集点、乡镇垃圾转运处理设施和有效治理率达到98%。</w:t>
      </w:r>
    </w:p>
    <w:p>
      <w:pPr>
        <w:overflowPunct w:val="0"/>
        <w:ind w:firstLine="643"/>
        <w:outlineLvl w:val="2"/>
        <w:rPr>
          <w:rFonts w:ascii="楷体" w:hAnsi="楷体" w:eastAsia="楷体"/>
          <w:b w:val="0"/>
          <w:bCs/>
          <w:szCs w:val="24"/>
        </w:rPr>
      </w:pPr>
      <w:bookmarkStart w:id="201" w:name="_Toc7946178"/>
      <w:bookmarkStart w:id="202" w:name="_Toc12549185"/>
      <w:bookmarkStart w:id="203" w:name="_Toc10545883"/>
      <w:r>
        <w:rPr>
          <w:rFonts w:hint="eastAsia" w:ascii="楷体" w:hAnsi="楷体" w:eastAsia="楷体"/>
          <w:b w:val="0"/>
          <w:bCs/>
          <w:szCs w:val="24"/>
        </w:rPr>
        <w:t>（二）因地制宜推进农村厕所革命</w:t>
      </w:r>
      <w:bookmarkEnd w:id="201"/>
      <w:bookmarkEnd w:id="202"/>
      <w:bookmarkEnd w:id="203"/>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农村改厕专项行动，按照“群众接受、经济适用、维护方便、生态环保”的原则，合理选择改厕方式。在城镇污水管网全覆盖、水资源充足的村和适宜区域，推广使用节水型水冲式卫生厕所；在城镇污水管网覆盖范围以外的村推广使用双瓮式、三格化粪池式及沼气式卫生厕所，高山区采用粪尿分集式卫生厕所。建立并落实农村改厕管护长效机制，探索市场化运作模式，鼓励专业化企业或个人进行改厕后的检查检修、定期收运、粪污资源化利用。到2023年，农村无害化卫生厕所普及率达到85%，建成20个以上卫生厕所示范村。</w:t>
      </w:r>
    </w:p>
    <w:p>
      <w:pPr>
        <w:overflowPunct w:val="0"/>
        <w:ind w:firstLine="643"/>
        <w:outlineLvl w:val="2"/>
        <w:rPr>
          <w:rFonts w:ascii="楷体" w:hAnsi="楷体" w:eastAsia="楷体"/>
          <w:b w:val="0"/>
          <w:bCs/>
          <w:szCs w:val="24"/>
        </w:rPr>
      </w:pPr>
      <w:bookmarkStart w:id="204" w:name="_Toc7946179"/>
      <w:bookmarkStart w:id="205" w:name="_Toc12549186"/>
      <w:bookmarkStart w:id="206" w:name="_Toc10545884"/>
      <w:r>
        <w:rPr>
          <w:rFonts w:hint="eastAsia" w:ascii="楷体" w:hAnsi="楷体" w:eastAsia="楷体"/>
          <w:b w:val="0"/>
          <w:bCs/>
          <w:szCs w:val="24"/>
        </w:rPr>
        <w:t>（三）有序推进农村生活污水治理</w:t>
      </w:r>
      <w:bookmarkEnd w:id="204"/>
      <w:bookmarkEnd w:id="205"/>
      <w:bookmarkEnd w:id="206"/>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综合考量不同区位条件、村庄人口聚集程度、污水产生规模等因素，科学合理选择污水处理方式。城镇污水管网覆盖的周边村庄，实行污水集中处理；离城镇较远、相对独立且居住集中的村庄及移民安置点，重点推广微动力污水处理模式或生物处理方式；偏远山区、生活污水集中收集难度较大的村庄，采用三格式化粪池进行处理。坚持控污与治污并重，将重点河道农村水环境治理纳入河长制管理，明确各级河长监管责任。到2023年，对生活污水进行处理的村占比达到95%。</w:t>
      </w:r>
    </w:p>
    <w:p>
      <w:pPr>
        <w:overflowPunct w:val="0"/>
        <w:ind w:firstLine="643"/>
        <w:outlineLvl w:val="2"/>
        <w:rPr>
          <w:rFonts w:ascii="楷体" w:hAnsi="楷体" w:eastAsia="楷体"/>
          <w:b w:val="0"/>
          <w:bCs/>
          <w:szCs w:val="24"/>
        </w:rPr>
      </w:pPr>
      <w:r>
        <w:rPr>
          <w:rFonts w:hint="eastAsia" w:ascii="楷体" w:hAnsi="楷体" w:eastAsia="楷体"/>
          <w:b w:val="0"/>
          <w:bCs/>
          <w:szCs w:val="24"/>
        </w:rPr>
        <w:t>（四）实施村容村貌提升行动</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持续改善农村人居环境为根本，进一步规范农房建设，突出紫阳青石板房特色，在传承传统文化的建筑风格基础上，结合紫阳“山•村•水一体”布局，引导农民对住房进行改造。推进全国乡村绿化美化示范县创建活动，建设一批小微绿色公园、公共绿地；开展立体绿化、多层次绿化，提升庭院绿化水平。到2023年，创建美丽宜居示范村10个，建成5个以上特色鲜明、美丽宜居的国家田园乡村和地方田园乡村。</w:t>
      </w:r>
    </w:p>
    <w:p>
      <w:pPr>
        <w:spacing w:after="120"/>
        <w:ind w:firstLine="320"/>
        <w:rPr>
          <w:rFonts w:eastAsia="宋体" w:cs="Times New Roman"/>
          <w:b w:val="0"/>
          <w:bCs/>
          <w:sz w:val="16"/>
          <w:szCs w:val="16"/>
        </w:rPr>
      </w:pPr>
    </w:p>
    <w:tbl>
      <w:tblPr>
        <w:tblStyle w:val="16"/>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8606" w:type="dxa"/>
            <w:shd w:val="clear" w:color="auto" w:fill="D0CECE" w:themeFill="background2" w:themeFillShade="E6"/>
            <w:vAlign w:val="center"/>
          </w:tcPr>
          <w:p>
            <w:pPr>
              <w:spacing w:line="240" w:lineRule="auto"/>
              <w:ind w:firstLine="0" w:firstLineChars="0"/>
              <w:jc w:val="center"/>
              <w:rPr>
                <w:rFonts w:ascii="宋体" w:hAnsi="宋体" w:cs="宋体" w:eastAsiaTheme="minorEastAsia"/>
                <w:b w:val="0"/>
                <w:bCs/>
                <w:w w:val="90"/>
                <w:kern w:val="0"/>
                <w:sz w:val="24"/>
                <w:szCs w:val="20"/>
              </w:rPr>
            </w:pPr>
            <w:r>
              <w:rPr>
                <w:rFonts w:hint="eastAsia" w:ascii="宋体" w:hAnsi="宋体" w:cs="宋体" w:eastAsiaTheme="minorEastAsia"/>
                <w:b w:val="0"/>
                <w:bCs/>
                <w:w w:val="90"/>
                <w:kern w:val="0"/>
                <w:sz w:val="24"/>
                <w:szCs w:val="20"/>
              </w:rPr>
              <w:t>专栏7 人居环境改善行动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6" w:type="dxa"/>
          </w:tcPr>
          <w:p>
            <w:pPr>
              <w:spacing w:line="240" w:lineRule="auto"/>
              <w:ind w:firstLine="437"/>
              <w:rPr>
                <w:rFonts w:ascii="宋体" w:hAnsi="宋体" w:cs="宋体" w:eastAsiaTheme="minorEastAsia"/>
                <w:b w:val="0"/>
                <w:bCs/>
                <w:w w:val="90"/>
                <w:kern w:val="0"/>
                <w:sz w:val="24"/>
                <w:szCs w:val="20"/>
              </w:rPr>
            </w:pPr>
            <w:r>
              <w:rPr>
                <w:rFonts w:hint="eastAsia" w:ascii="宋体" w:hAnsi="宋体" w:cs="宋体" w:eastAsiaTheme="minorEastAsia"/>
                <w:b w:val="0"/>
                <w:bCs/>
                <w:w w:val="90"/>
                <w:kern w:val="0"/>
                <w:sz w:val="24"/>
                <w:szCs w:val="20"/>
              </w:rPr>
              <w:t>镇村生活垃圾处理行动：新建生活垃圾压缩转运站6座，日转运垃圾200t,购置垃圾收运车50辆</w:t>
            </w:r>
            <w:r>
              <w:rPr>
                <w:rFonts w:hint="eastAsia" w:ascii="宋体" w:hAnsi="宋体" w:cs="宋体" w:eastAsiaTheme="minorEastAsia"/>
                <w:b w:val="0"/>
                <w:bCs/>
                <w:w w:val="90"/>
                <w:kern w:val="0"/>
                <w:sz w:val="24"/>
                <w:szCs w:val="20"/>
                <w:lang w:eastAsia="zh-CN"/>
              </w:rPr>
              <w:t>，</w:t>
            </w:r>
            <w:r>
              <w:rPr>
                <w:rFonts w:ascii="宋体" w:hAnsi="宋体" w:cs="宋体" w:eastAsiaTheme="minorEastAsia"/>
                <w:b w:val="0"/>
                <w:bCs/>
                <w:w w:val="90"/>
                <w:kern w:val="0"/>
                <w:sz w:val="24"/>
                <w:szCs w:val="20"/>
              </w:rPr>
              <w:t>自然村每20户配</w:t>
            </w:r>
            <w:r>
              <w:rPr>
                <w:rFonts w:hint="eastAsia" w:ascii="宋体" w:hAnsi="宋体" w:cs="宋体" w:eastAsiaTheme="minorEastAsia"/>
                <w:b w:val="0"/>
                <w:bCs/>
                <w:w w:val="90"/>
                <w:kern w:val="0"/>
                <w:sz w:val="24"/>
                <w:szCs w:val="20"/>
              </w:rPr>
              <w:t>建</w:t>
            </w:r>
            <w:r>
              <w:rPr>
                <w:rFonts w:ascii="宋体" w:hAnsi="宋体" w:cs="宋体" w:eastAsiaTheme="minorEastAsia"/>
                <w:b w:val="0"/>
                <w:bCs/>
                <w:w w:val="90"/>
                <w:kern w:val="0"/>
                <w:sz w:val="24"/>
                <w:szCs w:val="20"/>
              </w:rPr>
              <w:t>1个以上垃圾收集点。</w:t>
            </w:r>
          </w:p>
          <w:p>
            <w:pPr>
              <w:spacing w:line="240" w:lineRule="auto"/>
              <w:ind w:firstLine="437"/>
              <w:rPr>
                <w:rFonts w:ascii="宋体" w:hAnsi="宋体" w:cs="宋体" w:eastAsiaTheme="minorEastAsia"/>
                <w:b w:val="0"/>
                <w:bCs/>
                <w:w w:val="90"/>
                <w:kern w:val="0"/>
                <w:sz w:val="24"/>
                <w:szCs w:val="20"/>
              </w:rPr>
            </w:pPr>
            <w:r>
              <w:rPr>
                <w:rFonts w:ascii="宋体" w:hAnsi="宋体" w:cs="宋体" w:eastAsiaTheme="minorEastAsia"/>
                <w:b w:val="0"/>
                <w:bCs/>
                <w:w w:val="90"/>
                <w:kern w:val="0"/>
                <w:sz w:val="24"/>
                <w:szCs w:val="20"/>
              </w:rPr>
              <w:t>集中安置点污水处理</w:t>
            </w:r>
            <w:r>
              <w:rPr>
                <w:rFonts w:hint="eastAsia" w:ascii="宋体" w:hAnsi="宋体" w:cs="宋体" w:eastAsiaTheme="minorEastAsia"/>
                <w:b w:val="0"/>
                <w:bCs/>
                <w:w w:val="90"/>
                <w:kern w:val="0"/>
                <w:sz w:val="24"/>
                <w:szCs w:val="20"/>
              </w:rPr>
              <w:t>行动：</w:t>
            </w:r>
            <w:r>
              <w:rPr>
                <w:rFonts w:ascii="宋体" w:hAnsi="宋体" w:cs="宋体" w:eastAsiaTheme="minorEastAsia"/>
                <w:b w:val="0"/>
                <w:bCs/>
                <w:w w:val="90"/>
                <w:kern w:val="0"/>
                <w:sz w:val="24"/>
                <w:szCs w:val="20"/>
              </w:rPr>
              <w:t>对84个大中型集中安置点</w:t>
            </w:r>
            <w:r>
              <w:rPr>
                <w:rFonts w:hint="eastAsia" w:ascii="宋体" w:hAnsi="宋体" w:cs="宋体" w:eastAsiaTheme="minorEastAsia"/>
                <w:b w:val="0"/>
                <w:bCs/>
                <w:w w:val="90"/>
                <w:kern w:val="0"/>
                <w:sz w:val="24"/>
                <w:szCs w:val="20"/>
              </w:rPr>
              <w:t>建设</w:t>
            </w:r>
            <w:r>
              <w:rPr>
                <w:rFonts w:ascii="宋体" w:hAnsi="宋体" w:cs="宋体" w:eastAsiaTheme="minorEastAsia"/>
                <w:b w:val="0"/>
                <w:bCs/>
                <w:w w:val="90"/>
                <w:kern w:val="0"/>
                <w:sz w:val="24"/>
                <w:szCs w:val="20"/>
              </w:rPr>
              <w:t>“一体化”污水处理</w:t>
            </w:r>
            <w:r>
              <w:rPr>
                <w:rFonts w:hint="eastAsia" w:ascii="宋体" w:hAnsi="宋体" w:cs="宋体" w:eastAsiaTheme="minorEastAsia"/>
                <w:b w:val="0"/>
                <w:bCs/>
                <w:w w:val="90"/>
                <w:kern w:val="0"/>
                <w:sz w:val="24"/>
                <w:szCs w:val="20"/>
              </w:rPr>
              <w:t>设施</w:t>
            </w:r>
            <w:r>
              <w:rPr>
                <w:rFonts w:ascii="宋体" w:hAnsi="宋体" w:cs="宋体" w:eastAsiaTheme="minorEastAsia"/>
                <w:b w:val="0"/>
                <w:bCs/>
                <w:w w:val="90"/>
                <w:kern w:val="0"/>
                <w:sz w:val="24"/>
                <w:szCs w:val="20"/>
              </w:rPr>
              <w:t>，配套污水收集主管网；对118个小型集中安置点建设三格式化粪池</w:t>
            </w:r>
            <w:r>
              <w:rPr>
                <w:rFonts w:hint="eastAsia" w:ascii="宋体" w:hAnsi="宋体" w:cs="宋体" w:eastAsiaTheme="minorEastAsia"/>
                <w:b w:val="0"/>
                <w:bCs/>
                <w:w w:val="90"/>
                <w:kern w:val="0"/>
                <w:sz w:val="24"/>
                <w:szCs w:val="20"/>
              </w:rPr>
              <w:t>等</w:t>
            </w:r>
            <w:r>
              <w:rPr>
                <w:rFonts w:ascii="宋体" w:hAnsi="宋体" w:cs="宋体" w:eastAsiaTheme="minorEastAsia"/>
                <w:b w:val="0"/>
                <w:bCs/>
                <w:w w:val="90"/>
                <w:kern w:val="0"/>
                <w:sz w:val="24"/>
                <w:szCs w:val="20"/>
              </w:rPr>
              <w:t>处理设施。</w:t>
            </w:r>
          </w:p>
          <w:p>
            <w:pPr>
              <w:spacing w:line="240" w:lineRule="auto"/>
              <w:ind w:firstLine="437"/>
              <w:rPr>
                <w:rFonts w:hint="eastAsia" w:cs="Times New Roman" w:eastAsiaTheme="minorEastAsia"/>
                <w:b w:val="0"/>
                <w:bCs/>
                <w:kern w:val="0"/>
                <w:sz w:val="24"/>
                <w:szCs w:val="24"/>
                <w:lang w:eastAsia="zh-CN"/>
              </w:rPr>
            </w:pPr>
            <w:r>
              <w:rPr>
                <w:rFonts w:hint="eastAsia" w:ascii="宋体" w:hAnsi="宋体" w:cs="宋体" w:eastAsiaTheme="minorEastAsia"/>
                <w:b w:val="0"/>
                <w:bCs/>
                <w:w w:val="90"/>
                <w:kern w:val="0"/>
                <w:sz w:val="24"/>
                <w:szCs w:val="20"/>
              </w:rPr>
              <w:t>村庄</w:t>
            </w:r>
            <w:r>
              <w:rPr>
                <w:rFonts w:ascii="宋体" w:hAnsi="宋体" w:cs="宋体" w:eastAsiaTheme="minorEastAsia"/>
                <w:b w:val="0"/>
                <w:bCs/>
                <w:w w:val="90"/>
                <w:kern w:val="0"/>
                <w:sz w:val="24"/>
                <w:szCs w:val="20"/>
              </w:rPr>
              <w:t>“</w:t>
            </w:r>
            <w:r>
              <w:rPr>
                <w:rFonts w:hint="eastAsia" w:ascii="宋体" w:hAnsi="宋体" w:cs="宋体" w:eastAsiaTheme="minorEastAsia"/>
                <w:b w:val="0"/>
                <w:bCs/>
                <w:w w:val="90"/>
                <w:kern w:val="0"/>
                <w:sz w:val="24"/>
                <w:szCs w:val="20"/>
                <w:lang w:eastAsia="zh-CN"/>
              </w:rPr>
              <w:t>八</w:t>
            </w:r>
            <w:r>
              <w:rPr>
                <w:rFonts w:ascii="宋体" w:hAnsi="宋体" w:cs="宋体" w:eastAsiaTheme="minorEastAsia"/>
                <w:b w:val="0"/>
                <w:bCs/>
                <w:w w:val="90"/>
                <w:kern w:val="0"/>
                <w:sz w:val="24"/>
                <w:szCs w:val="20"/>
              </w:rPr>
              <w:t>清一改</w:t>
            </w:r>
            <w:r>
              <w:rPr>
                <w:rFonts w:hint="eastAsia" w:ascii="宋体" w:hAnsi="宋体" w:cs="宋体" w:eastAsiaTheme="minorEastAsia"/>
                <w:b w:val="0"/>
                <w:bCs/>
                <w:w w:val="90"/>
                <w:kern w:val="0"/>
                <w:sz w:val="24"/>
                <w:szCs w:val="20"/>
              </w:rPr>
              <w:t>”</w:t>
            </w:r>
            <w:r>
              <w:rPr>
                <w:rFonts w:ascii="宋体" w:hAnsi="宋体" w:cs="宋体" w:eastAsiaTheme="minorEastAsia"/>
                <w:b w:val="0"/>
                <w:bCs/>
                <w:w w:val="90"/>
                <w:kern w:val="0"/>
                <w:sz w:val="24"/>
                <w:szCs w:val="20"/>
              </w:rPr>
              <w:t>行动</w:t>
            </w:r>
            <w:r>
              <w:rPr>
                <w:rFonts w:hint="eastAsia" w:ascii="宋体" w:hAnsi="宋体" w:cs="宋体" w:eastAsiaTheme="minorEastAsia"/>
                <w:b w:val="0"/>
                <w:bCs/>
                <w:w w:val="90"/>
                <w:kern w:val="0"/>
                <w:sz w:val="24"/>
                <w:szCs w:val="20"/>
              </w:rPr>
              <w:t>：结合不同季节和重大节日，扎实开展以清理农村生活垃圾、村内塘沟、畜禽养殖粪污等农业生产废弃物，清理室内外卫生、乱堆乱放乱搭建、废弃房屋和残垣断壁、农村河道卫生、农村道路沿线卫生，改变影响农村人居环境不良习惯为重点的村庄清洁行动。</w:t>
            </w:r>
          </w:p>
        </w:tc>
      </w:tr>
    </w:tbl>
    <w:p>
      <w:pPr>
        <w:ind w:firstLine="640"/>
        <w:outlineLvl w:val="1"/>
        <w:rPr>
          <w:rFonts w:ascii="黑体" w:hAnsi="黑体" w:eastAsia="黑体"/>
          <w:b w:val="0"/>
          <w:bCs/>
        </w:rPr>
      </w:pPr>
      <w:bookmarkStart w:id="207" w:name="_Toc1008"/>
      <w:bookmarkStart w:id="208" w:name="_Toc1611"/>
      <w:bookmarkStart w:id="209" w:name="_Toc12549189"/>
      <w:bookmarkStart w:id="210" w:name="_Toc5177"/>
      <w:bookmarkStart w:id="211" w:name="_Toc22128"/>
      <w:bookmarkStart w:id="212" w:name="_Toc10545887"/>
      <w:r>
        <w:rPr>
          <w:rFonts w:hint="eastAsia" w:ascii="黑体" w:hAnsi="黑体" w:eastAsia="黑体"/>
          <w:b w:val="0"/>
          <w:bCs/>
        </w:rPr>
        <w:t>三、加快“生态紫阳”建设</w:t>
      </w:r>
      <w:bookmarkEnd w:id="207"/>
      <w:bookmarkEnd w:id="208"/>
      <w:bookmarkEnd w:id="209"/>
      <w:bookmarkEnd w:id="210"/>
      <w:bookmarkEnd w:id="211"/>
      <w:bookmarkEnd w:id="212"/>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严守生态保护红线，深入实施乡村生态保护和修复工程，推进绿化造林和退耕还林，着力保护好生态公益林和水源涵养地。</w:t>
      </w:r>
    </w:p>
    <w:p>
      <w:pPr>
        <w:overflowPunct w:val="0"/>
        <w:ind w:firstLine="643"/>
        <w:outlineLvl w:val="2"/>
        <w:rPr>
          <w:rFonts w:ascii="楷体" w:hAnsi="楷体" w:eastAsia="楷体"/>
          <w:b w:val="0"/>
          <w:bCs/>
          <w:szCs w:val="24"/>
        </w:rPr>
      </w:pPr>
      <w:bookmarkStart w:id="213" w:name="_Toc12549190"/>
      <w:bookmarkStart w:id="214" w:name="_Toc10545888"/>
      <w:r>
        <w:rPr>
          <w:rFonts w:hint="eastAsia" w:ascii="楷体" w:hAnsi="楷体" w:eastAsia="楷体"/>
          <w:b w:val="0"/>
          <w:bCs/>
          <w:szCs w:val="24"/>
        </w:rPr>
        <w:t>（一）实施生态修复重点工程</w:t>
      </w:r>
      <w:bookmarkEnd w:id="213"/>
      <w:bookmarkEnd w:id="214"/>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统筹山水林田湖草系统治理，加大重点生态功能区、生态脆弱区的系统修复力度。做好重点防护林保护和森林抚育。加快实施小流域综合治理项目，推进逐沟逐坡整流域生态治理。积极推进汉江瀛湖库区紫阳段治理，确保汉江出紫断面水质稳定保持国家Ⅱ类标准。加快矿产企业综合治理及破坏山体修复，按期完成矿山覆绿，建设一批绿色矿山。建立任河多鳞铲颌鱼国家级水产种质资源保护区和瀛湖库区野生鱼类天然产卵场保护区，加强境内国家级、省级动植物保护，维护生物多样性，构建“青山、蓝天、碧水、净土”生态格局。</w:t>
      </w:r>
    </w:p>
    <w:p>
      <w:pPr>
        <w:overflowPunct w:val="0"/>
        <w:ind w:firstLine="643"/>
        <w:outlineLvl w:val="2"/>
        <w:rPr>
          <w:rFonts w:ascii="楷体" w:hAnsi="楷体" w:eastAsia="楷体"/>
          <w:b w:val="0"/>
          <w:bCs/>
          <w:szCs w:val="24"/>
        </w:rPr>
      </w:pPr>
      <w:bookmarkStart w:id="215" w:name="_Toc12549191"/>
      <w:bookmarkStart w:id="216" w:name="_Toc10545889"/>
      <w:r>
        <w:rPr>
          <w:rFonts w:hint="eastAsia" w:ascii="楷体" w:hAnsi="楷体" w:eastAsia="楷体"/>
          <w:b w:val="0"/>
          <w:bCs/>
          <w:szCs w:val="24"/>
        </w:rPr>
        <w:t>（二）</w:t>
      </w:r>
      <w:bookmarkEnd w:id="215"/>
      <w:bookmarkEnd w:id="216"/>
      <w:r>
        <w:rPr>
          <w:rFonts w:hint="eastAsia" w:ascii="楷体" w:hAnsi="楷体" w:eastAsia="楷体"/>
          <w:b w:val="0"/>
          <w:bCs/>
          <w:szCs w:val="24"/>
        </w:rPr>
        <w:t>推进绿化造林和退耕还林</w:t>
      </w:r>
    </w:p>
    <w:p>
      <w:pPr>
        <w:ind w:firstLine="600"/>
        <w:rPr>
          <w:rFonts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规划实施新一轮退耕还林工程，优先将25度以上坡耕地和重要水源地15—25度坡耕地的非基本农田纳入新一轮退耕还林范围。持续实施村庄绿化行动，重点做好集中安置点绿化。充分利用闲置土地组织开展各种形式的农村义务植树活动，建设具有乡村特色的绿化景观。到2023年，新完成退耕还林4万亩，村庄林木覆盖率达到35%以上。</w:t>
      </w:r>
    </w:p>
    <w:p>
      <w:pPr>
        <w:overflowPunct w:val="0"/>
        <w:ind w:firstLine="643"/>
        <w:outlineLvl w:val="2"/>
        <w:rPr>
          <w:rFonts w:ascii="楷体" w:hAnsi="楷体" w:eastAsia="楷体"/>
          <w:b w:val="0"/>
          <w:bCs/>
          <w:szCs w:val="24"/>
        </w:rPr>
      </w:pPr>
      <w:r>
        <w:rPr>
          <w:rFonts w:hint="eastAsia" w:ascii="楷体" w:hAnsi="楷体" w:eastAsia="楷体"/>
          <w:b w:val="0"/>
          <w:bCs/>
          <w:szCs w:val="24"/>
        </w:rPr>
        <w:t>（三）强化生态公益林和水源涵养地保护</w:t>
      </w:r>
    </w:p>
    <w:p>
      <w:pPr>
        <w:overflowPunct w:val="0"/>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继续实施天然林保护管理制度，完善森林生态效益补偿基金政策，加大名木古树保护力度。加强水源涵养地环境保护，深化“河长+警长”治河机制，探索“段长制”等新制度，广泛发动党员、群众、志愿者担任段长，破解治水长效管理中群众参与不足问题。加强农村饮用水水源地保护，完善水源地突发事件应急预案，确保用水安全。到2023年，全县190万亩公益林得到全面有效保护；农村安全饮水率达到100%。</w:t>
      </w:r>
    </w:p>
    <w:p>
      <w:pPr>
        <w:shd w:val="clear" w:color="auto" w:fill="FFFFFF"/>
        <w:overflowPunct w:val="0"/>
        <w:spacing w:line="360" w:lineRule="auto"/>
        <w:ind w:firstLine="0" w:firstLineChars="0"/>
        <w:jc w:val="center"/>
        <w:rPr>
          <w:rFonts w:eastAsia="宋体" w:cs="Times New Roman"/>
          <w:b w:val="0"/>
          <w:bCs/>
          <w:sz w:val="24"/>
          <w:szCs w:val="24"/>
        </w:rPr>
      </w:pPr>
      <w:r>
        <w:rPr>
          <w:rFonts w:ascii="宋体" w:hAnsi="宋体" w:cs="宋体" w:eastAsiaTheme="minorEastAsia"/>
          <w:b w:val="0"/>
          <w:bCs/>
          <w:kern w:val="0"/>
          <w:sz w:val="21"/>
          <w:szCs w:val="24"/>
        </w:rPr>
        <w:drawing>
          <wp:inline distT="0" distB="0" distL="0" distR="0">
            <wp:extent cx="4630420" cy="5257800"/>
            <wp:effectExtent l="0" t="0" r="17780" b="0"/>
            <wp:docPr id="16" name="图片 16" descr="C:\Users\chengxijuan\AppData\Roaming\Tencent\Users\512443227\TIM\WinTemp\RichOle\3@_T{X7P59JF401KV)RCY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hengxijuan\AppData\Roaming\Tencent\Users\512443227\TIM\WinTemp\RichOle\3@_T{X7P59JF401KV)RCY7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65346" cy="5257800"/>
                    </a:xfrm>
                    <a:prstGeom prst="rect">
                      <a:avLst/>
                    </a:prstGeom>
                    <a:noFill/>
                    <a:ln>
                      <a:noFill/>
                    </a:ln>
                  </pic:spPr>
                </pic:pic>
              </a:graphicData>
            </a:graphic>
          </wp:inline>
        </w:drawing>
      </w:r>
    </w:p>
    <w:p>
      <w:pPr>
        <w:adjustRightInd w:val="0"/>
        <w:snapToGrid w:val="0"/>
        <w:spacing w:line="240" w:lineRule="auto"/>
        <w:ind w:firstLine="0" w:firstLineChars="0"/>
        <w:jc w:val="center"/>
        <w:rPr>
          <w:rFonts w:eastAsia="宋体" w:cs="Times New Roman"/>
          <w:b w:val="0"/>
          <w:bCs/>
          <w:w w:val="90"/>
          <w:sz w:val="24"/>
          <w:szCs w:val="24"/>
        </w:rPr>
      </w:pPr>
      <w:r>
        <w:rPr>
          <w:rFonts w:eastAsia="宋体" w:cs="Times New Roman"/>
          <w:b w:val="0"/>
          <w:bCs/>
          <w:w w:val="90"/>
          <w:sz w:val="24"/>
          <w:szCs w:val="24"/>
        </w:rPr>
        <w:t>图6-1：紫阳县国家Ⅰ、Ⅱ级重点保护野生动物分布图</w:t>
      </w:r>
    </w:p>
    <w:p>
      <w:pPr>
        <w:adjustRightInd w:val="0"/>
        <w:snapToGrid w:val="0"/>
        <w:spacing w:line="240" w:lineRule="auto"/>
        <w:ind w:firstLine="0" w:firstLineChars="0"/>
        <w:jc w:val="center"/>
        <w:rPr>
          <w:rFonts w:eastAsia="宋体" w:cs="Times New Roman"/>
          <w:b w:val="0"/>
          <w:bCs/>
          <w:w w:val="90"/>
          <w:sz w:val="24"/>
          <w:szCs w:val="24"/>
        </w:rPr>
      </w:pPr>
    </w:p>
    <w:tbl>
      <w:tblPr>
        <w:tblStyle w:val="16"/>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8659" w:type="dxa"/>
            <w:shd w:val="clear" w:color="auto" w:fill="D0CECE" w:themeFill="background2" w:themeFillShade="E6"/>
            <w:vAlign w:val="center"/>
          </w:tcPr>
          <w:p>
            <w:pPr>
              <w:spacing w:line="240" w:lineRule="auto"/>
              <w:ind w:firstLine="0" w:firstLineChars="0"/>
              <w:jc w:val="center"/>
              <w:rPr>
                <w:rFonts w:eastAsiaTheme="minorEastAsia"/>
                <w:b w:val="0"/>
                <w:bCs/>
                <w:kern w:val="0"/>
                <w:sz w:val="24"/>
                <w:szCs w:val="20"/>
              </w:rPr>
            </w:pPr>
            <w:r>
              <w:rPr>
                <w:rFonts w:hint="eastAsia" w:ascii="宋体" w:hAnsi="宋体" w:cs="宋体" w:eastAsiaTheme="minorEastAsia"/>
                <w:b w:val="0"/>
                <w:bCs/>
                <w:w w:val="90"/>
                <w:kern w:val="0"/>
                <w:sz w:val="24"/>
                <w:szCs w:val="20"/>
              </w:rPr>
              <w:t>专栏8 美丽乡村建设工程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9" w:type="dxa"/>
          </w:tcPr>
          <w:p>
            <w:pPr>
              <w:spacing w:line="240" w:lineRule="auto"/>
              <w:ind w:firstLine="422"/>
              <w:rPr>
                <w:rFonts w:asciiTheme="minorHAnsi" w:hAnsiTheme="minorHAnsi" w:eastAsiaTheme="minorEastAsia"/>
                <w:b w:val="0"/>
                <w:bCs/>
                <w:sz w:val="21"/>
              </w:rPr>
            </w:pPr>
            <w:r>
              <w:rPr>
                <w:rFonts w:hint="eastAsia" w:asciiTheme="minorHAnsi" w:hAnsiTheme="minorHAnsi" w:eastAsiaTheme="minorEastAsia"/>
                <w:b w:val="0"/>
                <w:bCs/>
                <w:sz w:val="21"/>
              </w:rPr>
              <w:t>生态清洁小流域治理工程：对毛坝镇盘厢河、东木镇小石河实施生态治理，新建防护堤、栈道、挡墙等，配套垃圾、污水等处理设施，进一步改善河道周边环境。</w:t>
            </w:r>
          </w:p>
          <w:p>
            <w:pPr>
              <w:spacing w:line="240" w:lineRule="auto"/>
              <w:ind w:firstLine="422"/>
              <w:rPr>
                <w:rFonts w:asciiTheme="minorHAnsi" w:hAnsiTheme="minorHAnsi" w:eastAsiaTheme="minorEastAsia"/>
                <w:b w:val="0"/>
                <w:bCs/>
                <w:sz w:val="21"/>
              </w:rPr>
            </w:pPr>
            <w:r>
              <w:rPr>
                <w:rFonts w:hint="eastAsia" w:asciiTheme="minorHAnsi" w:hAnsiTheme="minorHAnsi" w:eastAsiaTheme="minorEastAsia"/>
                <w:b w:val="0"/>
                <w:bCs/>
                <w:sz w:val="21"/>
              </w:rPr>
              <w:t>生物多样性保护工程：建立任河多鳞铲颌鱼国家级水产种质资源保护区和瀛湖库区野生鱼类天然产卵场保护区，建设野生动物监测救助站1个、野生动物疫源疫病监测站1个、无害化处理厂1个。</w:t>
            </w:r>
          </w:p>
        </w:tc>
      </w:tr>
    </w:tbl>
    <w:p>
      <w:pPr>
        <w:ind w:firstLine="640"/>
        <w:outlineLvl w:val="1"/>
        <w:rPr>
          <w:rFonts w:ascii="黑体" w:hAnsi="黑体" w:eastAsia="黑体"/>
          <w:b w:val="0"/>
          <w:bCs/>
        </w:rPr>
      </w:pPr>
      <w:bookmarkStart w:id="217" w:name="_Toc7946186"/>
      <w:bookmarkStart w:id="218" w:name="_Toc12549193"/>
      <w:bookmarkStart w:id="219" w:name="_Toc10545891"/>
      <w:bookmarkStart w:id="220" w:name="_Toc959"/>
      <w:bookmarkStart w:id="221" w:name="_Toc32094"/>
      <w:bookmarkStart w:id="222" w:name="_Toc28320"/>
      <w:bookmarkStart w:id="223" w:name="_Toc1698"/>
      <w:r>
        <w:rPr>
          <w:rFonts w:hint="eastAsia" w:ascii="黑体" w:hAnsi="黑体" w:eastAsia="黑体"/>
          <w:b w:val="0"/>
          <w:bCs/>
        </w:rPr>
        <w:t>四、</w:t>
      </w:r>
      <w:bookmarkEnd w:id="217"/>
      <w:bookmarkEnd w:id="218"/>
      <w:bookmarkEnd w:id="219"/>
      <w:r>
        <w:rPr>
          <w:rFonts w:hint="eastAsia" w:ascii="黑体" w:hAnsi="黑体" w:eastAsia="黑体"/>
          <w:b w:val="0"/>
          <w:bCs/>
        </w:rPr>
        <w:t>健全生态保护长效机制</w:t>
      </w:r>
      <w:bookmarkEnd w:id="220"/>
      <w:bookmarkEnd w:id="221"/>
      <w:bookmarkEnd w:id="222"/>
      <w:bookmarkEnd w:id="223"/>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进一步健全生态保护补偿机制，提高自然资源的科学利用水平，提升生态保护与修复综合效益，让保护生态环境者得到实实在在的收益。</w:t>
      </w:r>
    </w:p>
    <w:p>
      <w:pPr>
        <w:overflowPunct w:val="0"/>
        <w:ind w:firstLine="643"/>
        <w:outlineLvl w:val="2"/>
        <w:rPr>
          <w:rFonts w:ascii="楷体" w:hAnsi="楷体" w:eastAsia="楷体"/>
          <w:b w:val="0"/>
          <w:bCs/>
          <w:szCs w:val="24"/>
        </w:rPr>
      </w:pPr>
      <w:bookmarkStart w:id="224" w:name="_Toc12549194"/>
      <w:bookmarkStart w:id="225" w:name="_Toc10545892"/>
      <w:bookmarkStart w:id="226" w:name="_Toc7946187"/>
      <w:r>
        <w:rPr>
          <w:rFonts w:hint="eastAsia" w:ascii="楷体" w:hAnsi="楷体" w:eastAsia="楷体"/>
          <w:b w:val="0"/>
          <w:bCs/>
          <w:szCs w:val="24"/>
        </w:rPr>
        <w:t>（一）健全生态保护补偿机制</w:t>
      </w:r>
      <w:bookmarkEnd w:id="224"/>
      <w:bookmarkEnd w:id="225"/>
      <w:bookmarkEnd w:id="226"/>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政府引导与市场运作相结合，建立重点生态公益林补偿标准动态调整机制和以森林植被碳储量为切入点的市场化生态保护补偿机制，以紫阳县公共资源交易平台为基础，争取筹建碳市场能力建设（陕南）中心，负责陕南地区碳排放权交易管理工作的综合协调、组织实施和监督管理，实现碳排放权有序交易、规范管理。探索购买森林发展权、林木所有权、林地使用权以及租赁、置换、协议、混合所有制、共有产权等多种方式，加强重点生态区森林资源保护。</w:t>
      </w:r>
    </w:p>
    <w:p>
      <w:pPr>
        <w:spacing w:line="360" w:lineRule="auto"/>
        <w:ind w:firstLine="480"/>
        <w:rPr>
          <w:rFonts w:ascii="宋体" w:hAnsi="宋体" w:eastAsiaTheme="minorEastAsia"/>
          <w:b w:val="0"/>
          <w:bCs/>
          <w:sz w:val="24"/>
          <w:szCs w:val="24"/>
        </w:rPr>
      </w:pPr>
    </w:p>
    <w:p>
      <w:pPr>
        <w:pStyle w:val="12"/>
        <w:overflowPunct w:val="0"/>
        <w:spacing w:line="360" w:lineRule="auto"/>
        <w:ind w:firstLine="360" w:firstLineChars="200"/>
        <w:jc w:val="center"/>
        <w:rPr>
          <w:rFonts w:ascii="宋体" w:hAnsi="宋体" w:eastAsia="宋体"/>
          <w:b w:val="0"/>
          <w:bCs/>
          <w:sz w:val="24"/>
          <w:szCs w:val="22"/>
        </w:rPr>
      </w:pPr>
      <w:r>
        <w:rPr>
          <w:b w:val="0"/>
          <w:bCs/>
        </w:rPr>
        <mc:AlternateContent>
          <mc:Choice Requires="wpg">
            <w:drawing>
              <wp:inline distT="0" distB="0" distL="114300" distR="114300">
                <wp:extent cx="4112895" cy="1853565"/>
                <wp:effectExtent l="0" t="0" r="1905" b="13335"/>
                <wp:docPr id="6" name="组合 29" descr="KSO_WM_TAG_VERSION=1.0&amp;KSO_WM_BEAUTIFY_FLAG=#wm#&amp;KSO_WM_UNIT_TYPE=i&amp;KSO_WM_UNIT_ID=wpsdiag20176786_2*i*12&amp;KSO_WM_TEMPLATE_CATEGORY=wpsdiag&amp;KSO_WM_TEMPLATE_INDEX=20176786"/>
                <wp:cNvGraphicFramePr/>
                <a:graphic xmlns:a="http://schemas.openxmlformats.org/drawingml/2006/main">
                  <a:graphicData uri="http://schemas.microsoft.com/office/word/2010/wordprocessingGroup">
                    <wpg:wgp>
                      <wpg:cNvGrpSpPr/>
                      <wpg:grpSpPr>
                        <a:xfrm>
                          <a:off x="0" y="0"/>
                          <a:ext cx="4113003" cy="1853565"/>
                          <a:chOff x="1855895" y="55934"/>
                          <a:chExt cx="8417807" cy="3797017"/>
                        </a:xfrm>
                      </wpg:grpSpPr>
                      <wpg:grpSp>
                        <wpg:cNvPr id="7" name="组合 41"/>
                        <wpg:cNvGrpSpPr/>
                        <wpg:grpSpPr>
                          <a:xfrm>
                            <a:off x="1975392" y="1103073"/>
                            <a:ext cx="1903915" cy="2743467"/>
                            <a:chOff x="1959431" y="1103150"/>
                            <a:chExt cx="2520157" cy="3630394"/>
                          </a:xfrm>
                        </wpg:grpSpPr>
                        <wps:wsp>
                          <wps:cNvPr id="98" name="椭圆 42" descr="KSO_WM_UNIT_INDEX=1_2_4&amp;KSO_WM_UNIT_TYPE=l_h_i&amp;KSO_WM_UNIT_ID=wpsdiag20176786_2*l_h_i*1_2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6&amp;KSO_WM_UNIT_FILL_BACK_SCHEMECOLOR_INDEX=0"/>
                          <wps:cNvSpPr>
                            <a:spLocks noChangeAspect="1"/>
                          </wps:cNvSpPr>
                          <wps:spPr>
                            <a:xfrm>
                              <a:off x="1959431" y="1103150"/>
                              <a:ext cx="2520157" cy="2520018"/>
                            </a:xfrm>
                            <a:prstGeom prst="ellipse">
                              <a:avLst/>
                            </a:prstGeom>
                            <a:solidFill>
                              <a:srgbClr val="ED7D31"/>
                            </a:solidFill>
                            <a:ln w="12700" cap="flat" cmpd="sng" algn="ctr">
                              <a:noFill/>
                              <a:prstDash val="solid"/>
                              <a:miter lim="800000"/>
                            </a:ln>
                            <a:effectLst/>
                          </wps:spPr>
                          <wps:bodyPr anchor="ctr">
                            <a:noAutofit/>
                          </wps:bodyPr>
                        </wps:wsp>
                        <wpg:grpSp>
                          <wpg:cNvPr id="12" name="组合 43"/>
                          <wpg:cNvGrpSpPr/>
                          <wpg:grpSpPr>
                            <a:xfrm>
                              <a:off x="3114052" y="2794748"/>
                              <a:ext cx="351922" cy="1938796"/>
                              <a:chOff x="3114052" y="2794748"/>
                              <a:chExt cx="351922" cy="1938796"/>
                            </a:xfrm>
                            <a:solidFill>
                              <a:srgbClr val="2A3C50"/>
                            </a:solidFill>
                          </wpg:grpSpPr>
                          <wps:wsp>
                            <wps:cNvPr id="100" name="等腰三角形 44" descr="KSO_WM_UNIT_INDEX=1_2_1&amp;KSO_WM_UNIT_TYPE=l_h_i&amp;KSO_WM_UNIT_ID=wpsdiag20176786_2*l_h_i*1_2_1&amp;KSO_WM_UNIT_LAYERLEVEL=1_1_1&amp;KSO_WM_UNIT_CLEAR=1&amp;KSO_WM_TAG_VERSION=1.0&amp;KSO_WM_BEAUTIFY_FLAG=#wm#&amp;KSO_WM_TEMPLATE_CATEGORY=wpsdiag&amp;KSO_WM_TEMPLATE_INDEX=20176786&amp;KSO_WM_SLIDE_ITEM_CNT=5&amp;KSO_WM_DIAGRAM_GROUP_CODE=l1_1"/>
                            <wps:cNvSpPr/>
                            <wps:spPr>
                              <a:xfrm>
                                <a:off x="3115520" y="2794748"/>
                                <a:ext cx="350454" cy="1938796"/>
                              </a:xfrm>
                              <a:prstGeom prst="triangle">
                                <a:avLst/>
                              </a:prstGeom>
                              <a:grpFill/>
                              <a:ln w="12700" cap="flat" cmpd="sng" algn="ctr">
                                <a:noFill/>
                                <a:prstDash val="solid"/>
                                <a:miter lim="800000"/>
                              </a:ln>
                              <a:effectLst/>
                            </wps:spPr>
                            <wps:bodyPr anchor="ctr">
                              <a:noAutofit/>
                            </wps:bodyPr>
                          </wps:wsp>
                          <wps:wsp>
                            <wps:cNvPr id="101" name="等腰三角形 45" descr="KSO_WM_UNIT_INDEX=1_2_3&amp;KSO_WM_UNIT_TYPE=l_h_i&amp;KSO_WM_UNIT_ID=wpsdiag20176786_2*l_h_i*1_2_3&amp;KSO_WM_UNIT_LAYERLEVEL=1_1_1&amp;KSO_WM_UNIT_CLEAR=1&amp;KSO_WM_TAG_VERSION=1.0&amp;KSO_WM_BEAUTIFY_FLAG=#wm#&amp;KSO_WM_TEMPLATE_CATEGORY=wpsdiag&amp;KSO_WM_TEMPLATE_INDEX=20176786&amp;KSO_WM_SLIDE_ITEM_CNT=5&amp;KSO_WM_DIAGRAM_GROUP_CODE=l1_1"/>
                            <wps:cNvSpPr/>
                            <wps:spPr>
                              <a:xfrm rot="19518462">
                                <a:off x="3114052" y="3152370"/>
                                <a:ext cx="105103" cy="420755"/>
                              </a:xfrm>
                              <a:prstGeom prst="triangle">
                                <a:avLst/>
                              </a:prstGeom>
                              <a:grpFill/>
                              <a:ln w="12700" cap="flat" cmpd="sng" algn="ctr">
                                <a:noFill/>
                                <a:prstDash val="solid"/>
                                <a:miter lim="800000"/>
                              </a:ln>
                              <a:effectLst/>
                            </wps:spPr>
                            <wps:bodyPr anchor="ctr">
                              <a:noAutofit/>
                            </wps:bodyPr>
                          </wps:wsp>
                          <wps:wsp>
                            <wps:cNvPr id="102" name="等腰三角形 46" descr="KSO_WM_UNIT_INDEX=1_2_2&amp;KSO_WM_UNIT_TYPE=l_h_i&amp;KSO_WM_UNIT_ID=wpsdiag20176786_2*l_h_i*1_2_2&amp;KSO_WM_UNIT_LAYERLEVEL=1_1_1&amp;KSO_WM_UNIT_CLEAR=1&amp;KSO_WM_TAG_VERSION=1.0&amp;KSO_WM_BEAUTIFY_FLAG=#wm#&amp;KSO_WM_TEMPLATE_CATEGORY=wpsdiag&amp;KSO_WM_TEMPLATE_INDEX=20176786&amp;KSO_WM_SLIDE_ITEM_CNT=5&amp;KSO_WM_DIAGRAM_GROUP_CODE=l1_1"/>
                            <wps:cNvSpPr/>
                            <wps:spPr>
                              <a:xfrm rot="1632164">
                                <a:off x="3352216" y="3032999"/>
                                <a:ext cx="98053" cy="595367"/>
                              </a:xfrm>
                              <a:prstGeom prst="triangle">
                                <a:avLst/>
                              </a:prstGeom>
                              <a:grpFill/>
                              <a:ln w="12700" cap="flat" cmpd="sng" algn="ctr">
                                <a:noFill/>
                                <a:prstDash val="solid"/>
                                <a:miter lim="800000"/>
                              </a:ln>
                              <a:effectLst/>
                            </wps:spPr>
                            <wps:bodyPr anchor="ctr">
                              <a:noAutofit/>
                            </wps:bodyPr>
                          </wps:wsp>
                        </wpg:grpSp>
                      </wpg:grpSp>
                      <wpg:grpSp>
                        <wpg:cNvPr id="13" name="组合 47"/>
                        <wpg:cNvGrpSpPr/>
                        <wpg:grpSpPr>
                          <a:xfrm>
                            <a:off x="3720756" y="55934"/>
                            <a:ext cx="2392565" cy="3785880"/>
                            <a:chOff x="3718162" y="55849"/>
                            <a:chExt cx="2807250" cy="4443131"/>
                          </a:xfrm>
                        </wpg:grpSpPr>
                        <wps:wsp>
                          <wps:cNvPr id="105" name="椭圆 48" descr="KSO_WM_UNIT_INDEX=1_3_4&amp;KSO_WM_UNIT_TYPE=l_h_i&amp;KSO_WM_UNIT_ID=wpsdiag20176786_2*l_h_i*1_3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7&amp;KSO_WM_UNIT_FILL_BACK_SCHEMECOLOR_INDEX=0"/>
                          <wps:cNvSpPr>
                            <a:spLocks noChangeAspect="1"/>
                          </wps:cNvSpPr>
                          <wps:spPr>
                            <a:xfrm>
                              <a:off x="3718162" y="55849"/>
                              <a:ext cx="2807250" cy="2808979"/>
                            </a:xfrm>
                            <a:prstGeom prst="ellipse">
                              <a:avLst/>
                            </a:prstGeom>
                            <a:gradFill>
                              <a:gsLst>
                                <a:gs pos="44000">
                                  <a:srgbClr val="88BBD7"/>
                                </a:gs>
                                <a:gs pos="100000">
                                  <a:srgbClr val="FDFDFD"/>
                                </a:gs>
                                <a:gs pos="19000">
                                  <a:srgbClr val="619ECD"/>
                                </a:gs>
                              </a:gsLst>
                              <a:lin ang="5400000" scaled="1"/>
                            </a:gradFill>
                            <a:ln w="12700" cap="flat" cmpd="sng" algn="ctr">
                              <a:noFill/>
                              <a:prstDash val="solid"/>
                              <a:miter lim="800000"/>
                            </a:ln>
                            <a:effectLst/>
                          </wps:spPr>
                          <wps:bodyPr anchor="ctr">
                            <a:noAutofit/>
                          </wps:bodyPr>
                        </wps:wsp>
                        <wpg:grpSp>
                          <wpg:cNvPr id="14" name="组合 49"/>
                          <wpg:cNvGrpSpPr/>
                          <wpg:grpSpPr>
                            <a:xfrm>
                              <a:off x="4911861" y="1897064"/>
                              <a:ext cx="408969" cy="2601916"/>
                              <a:chOff x="4911861" y="1897064"/>
                              <a:chExt cx="408969" cy="2601916"/>
                            </a:xfrm>
                            <a:solidFill>
                              <a:srgbClr val="2A3C50"/>
                            </a:solidFill>
                          </wpg:grpSpPr>
                          <wps:wsp>
                            <wps:cNvPr id="107" name="等腰三角形 50" descr="KSO_WM_UNIT_INDEX=1_3_1&amp;KSO_WM_UNIT_TYPE=l_h_i&amp;KSO_WM_UNIT_ID=wpsdiag20176786_2*l_h_i*1_3_1&amp;KSO_WM_UNIT_LAYERLEVEL=1_1_1&amp;KSO_WM_UNIT_CLEAR=1&amp;KSO_WM_TAG_VERSION=1.0&amp;KSO_WM_BEAUTIFY_FLAG=#wm#&amp;KSO_WM_TEMPLATE_CATEGORY=wpsdiag&amp;KSO_WM_TEMPLATE_INDEX=20176786&amp;KSO_WM_SLIDE_ITEM_CNT=5&amp;KSO_WM_DIAGRAM_GROUP_CODE=l1_1"/>
                            <wps:cNvSpPr/>
                            <wps:spPr>
                              <a:xfrm>
                                <a:off x="4951773" y="1897064"/>
                                <a:ext cx="350451" cy="2601916"/>
                              </a:xfrm>
                              <a:prstGeom prst="triangle">
                                <a:avLst/>
                              </a:prstGeom>
                              <a:grpFill/>
                              <a:ln w="12700" cap="flat" cmpd="sng" algn="ctr">
                                <a:noFill/>
                                <a:prstDash val="solid"/>
                                <a:miter lim="800000"/>
                              </a:ln>
                              <a:effectLst/>
                            </wps:spPr>
                            <wps:bodyPr anchor="ctr">
                              <a:noAutofit/>
                            </wps:bodyPr>
                          </wps:wsp>
                          <wps:wsp>
                            <wps:cNvPr id="108" name="等腰三角形 51" descr="KSO_WM_UNIT_INDEX=1_3_2&amp;KSO_WM_UNIT_TYPE=l_h_i&amp;KSO_WM_UNIT_ID=wpsdiag20176786_2*l_h_i*1_3_2&amp;KSO_WM_UNIT_LAYERLEVEL=1_1_1&amp;KSO_WM_UNIT_CLEAR=1&amp;KSO_WM_TAG_VERSION=1.0&amp;KSO_WM_BEAUTIFY_FLAG=#wm#&amp;KSO_WM_TEMPLATE_CATEGORY=wpsdiag&amp;KSO_WM_TEMPLATE_INDEX=20176786&amp;KSO_WM_SLIDE_ITEM_CNT=5&amp;KSO_WM_DIAGRAM_GROUP_CODE=l1_1"/>
                            <wps:cNvSpPr/>
                            <wps:spPr>
                              <a:xfrm rot="19518462">
                                <a:off x="4911861" y="2400647"/>
                                <a:ext cx="79823" cy="594777"/>
                              </a:xfrm>
                              <a:prstGeom prst="triangle">
                                <a:avLst/>
                              </a:prstGeom>
                              <a:grpFill/>
                              <a:ln w="12700" cap="flat" cmpd="sng" algn="ctr">
                                <a:noFill/>
                                <a:prstDash val="solid"/>
                                <a:miter lim="800000"/>
                              </a:ln>
                              <a:effectLst/>
                            </wps:spPr>
                            <wps:bodyPr anchor="ctr">
                              <a:noAutofit/>
                            </wps:bodyPr>
                          </wps:wsp>
                          <wps:wsp>
                            <wps:cNvPr id="109" name="等腰三角形 52" descr="KSO_WM_UNIT_INDEX=1_3_3&amp;KSO_WM_UNIT_TYPE=l_h_i&amp;KSO_WM_UNIT_ID=wpsdiag20176786_2*l_h_i*1_3_3&amp;KSO_WM_UNIT_LAYERLEVEL=1_1_1&amp;KSO_WM_UNIT_CLEAR=1&amp;KSO_WM_TAG_VERSION=1.0&amp;KSO_WM_BEAUTIFY_FLAG=#wm#&amp;KSO_WM_TEMPLATE_CATEGORY=wpsdiag&amp;KSO_WM_TEMPLATE_INDEX=20176786&amp;KSO_WM_SLIDE_ITEM_CNT=5&amp;KSO_WM_DIAGRAM_GROUP_CODE=l1_1"/>
                            <wps:cNvSpPr/>
                            <wps:spPr>
                              <a:xfrm rot="1632164">
                                <a:off x="5222775" y="2214995"/>
                                <a:ext cx="98055" cy="595370"/>
                              </a:xfrm>
                              <a:prstGeom prst="triangle">
                                <a:avLst/>
                              </a:prstGeom>
                              <a:grpFill/>
                              <a:ln w="12700" cap="flat" cmpd="sng" algn="ctr">
                                <a:noFill/>
                                <a:prstDash val="solid"/>
                                <a:miter lim="800000"/>
                              </a:ln>
                              <a:effectLst/>
                            </wps:spPr>
                            <wps:bodyPr anchor="ctr">
                              <a:noAutofit/>
                            </wps:bodyPr>
                          </wps:wsp>
                        </wpg:grpSp>
                      </wpg:grpSp>
                      <wpg:grpSp>
                        <wpg:cNvPr id="15" name="组合 53"/>
                        <wpg:cNvGrpSpPr/>
                        <wpg:grpSpPr>
                          <a:xfrm>
                            <a:off x="6023943" y="367414"/>
                            <a:ext cx="2275958" cy="3485537"/>
                            <a:chOff x="6023943" y="367414"/>
                            <a:chExt cx="2700000" cy="4134180"/>
                          </a:xfrm>
                        </wpg:grpSpPr>
                        <wps:wsp>
                          <wps:cNvPr id="111" name="椭圆 54" descr="KSO_WM_UNIT_INDEX=1_4_1&amp;KSO_WM_UNIT_TYPE=l_h_i&amp;KSO_WM_UNIT_ID=wpsdiag20176786_2*l_h_i*1_4_1&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8&amp;KSO_WM_UNIT_FILL_BACK_SCHEMECOLOR_INDEX=0"/>
                          <wps:cNvSpPr>
                            <a:spLocks noChangeAspect="1"/>
                          </wps:cNvSpPr>
                          <wps:spPr>
                            <a:xfrm>
                              <a:off x="6023943" y="367414"/>
                              <a:ext cx="2700000" cy="2699503"/>
                            </a:xfrm>
                            <a:prstGeom prst="ellipse">
                              <a:avLst/>
                            </a:prstGeom>
                            <a:gradFill>
                              <a:gsLst>
                                <a:gs pos="0">
                                  <a:srgbClr val="9EE256"/>
                                </a:gs>
                                <a:gs pos="100000">
                                  <a:srgbClr val="52762D"/>
                                </a:gs>
                              </a:gsLst>
                              <a:lin ang="5400000" scaled="0"/>
                            </a:gradFill>
                            <a:ln w="12700" cap="flat" cmpd="sng" algn="ctr">
                              <a:noFill/>
                              <a:prstDash val="solid"/>
                              <a:miter lim="800000"/>
                            </a:ln>
                            <a:effectLst/>
                          </wps:spPr>
                          <wps:bodyPr anchor="ctr">
                            <a:noAutofit/>
                          </wps:bodyPr>
                        </wps:wsp>
                        <wpg:grpSp>
                          <wpg:cNvPr id="17" name="组合 55"/>
                          <wpg:cNvGrpSpPr/>
                          <wpg:grpSpPr>
                            <a:xfrm>
                              <a:off x="7226571" y="2228120"/>
                              <a:ext cx="351922" cy="2273474"/>
                              <a:chOff x="7226571" y="2228120"/>
                              <a:chExt cx="351922" cy="2273474"/>
                            </a:xfrm>
                            <a:solidFill>
                              <a:srgbClr val="2A3C50"/>
                            </a:solidFill>
                          </wpg:grpSpPr>
                          <wps:wsp>
                            <wps:cNvPr id="113" name="等腰三角形 56" descr="KSO_WM_UNIT_INDEX=1_4_4&amp;KSO_WM_UNIT_TYPE=l_h_i&amp;KSO_WM_UNIT_ID=wpsdiag20176786_2*l_h_i*1_4_4&amp;KSO_WM_UNIT_LAYERLEVEL=1_1_1&amp;KSO_WM_UNIT_CLEAR=1&amp;KSO_WM_TAG_VERSION=1.0&amp;KSO_WM_BEAUTIFY_FLAG=#wm#&amp;KSO_WM_TEMPLATE_CATEGORY=wpsdiag&amp;KSO_WM_TEMPLATE_INDEX=20176786&amp;KSO_WM_SLIDE_ITEM_CNT=5&amp;KSO_WM_DIAGRAM_GROUP_CODE=l1_1"/>
                            <wps:cNvSpPr/>
                            <wps:spPr>
                              <a:xfrm>
                                <a:off x="7228041" y="2228120"/>
                                <a:ext cx="350452" cy="2273474"/>
                              </a:xfrm>
                              <a:prstGeom prst="triangle">
                                <a:avLst/>
                              </a:prstGeom>
                              <a:grpFill/>
                              <a:ln w="12700" cap="flat" cmpd="sng" algn="ctr">
                                <a:noFill/>
                                <a:prstDash val="solid"/>
                                <a:miter lim="800000"/>
                              </a:ln>
                              <a:effectLst/>
                            </wps:spPr>
                            <wps:bodyPr anchor="ctr">
                              <a:noAutofit/>
                            </wps:bodyPr>
                          </wps:wsp>
                          <wps:wsp>
                            <wps:cNvPr id="115" name="等腰三角形 57" descr="KSO_WM_UNIT_INDEX=1_4_3&amp;KSO_WM_UNIT_TYPE=l_h_i&amp;KSO_WM_UNIT_ID=wpsdiag20176786_2*l_h_i*1_4_3&amp;KSO_WM_UNIT_LAYERLEVEL=1_1_1&amp;KSO_WM_UNIT_CLEAR=1&amp;KSO_WM_TAG_VERSION=1.0&amp;KSO_WM_BEAUTIFY_FLAG=#wm#&amp;KSO_WM_TEMPLATE_CATEGORY=wpsdiag&amp;KSO_WM_TEMPLATE_INDEX=20176786&amp;KSO_WM_SLIDE_ITEM_CNT=5&amp;KSO_WM_DIAGRAM_GROUP_CODE=l1_1"/>
                            <wps:cNvSpPr/>
                            <wps:spPr>
                              <a:xfrm rot="19518462">
                                <a:off x="7226571" y="2735152"/>
                                <a:ext cx="105104" cy="420753"/>
                              </a:xfrm>
                              <a:prstGeom prst="triangle">
                                <a:avLst/>
                              </a:prstGeom>
                              <a:grpFill/>
                              <a:ln w="12700" cap="flat" cmpd="sng" algn="ctr">
                                <a:noFill/>
                                <a:prstDash val="solid"/>
                                <a:miter lim="800000"/>
                              </a:ln>
                              <a:effectLst/>
                            </wps:spPr>
                            <wps:bodyPr anchor="ctr">
                              <a:noAutofit/>
                            </wps:bodyPr>
                          </wps:wsp>
                          <wps:wsp>
                            <wps:cNvPr id="116" name="等腰三角形 58" descr="KSO_WM_UNIT_INDEX=1_4_2&amp;KSO_WM_UNIT_TYPE=l_h_i&amp;KSO_WM_UNIT_ID=wpsdiag20176786_2*l_h_i*1_4_2&amp;KSO_WM_UNIT_LAYERLEVEL=1_1_1&amp;KSO_WM_UNIT_CLEAR=1&amp;KSO_WM_TAG_VERSION=1.0&amp;KSO_WM_BEAUTIFY_FLAG=#wm#&amp;KSO_WM_TEMPLATE_CATEGORY=wpsdiag&amp;KSO_WM_TEMPLATE_INDEX=20176786&amp;KSO_WM_SLIDE_ITEM_CNT=5&amp;KSO_WM_DIAGRAM_GROUP_CODE=l1_1"/>
                            <wps:cNvSpPr/>
                            <wps:spPr>
                              <a:xfrm rot="1632164">
                                <a:off x="7464734" y="2615779"/>
                                <a:ext cx="98055" cy="595367"/>
                              </a:xfrm>
                              <a:prstGeom prst="triangle">
                                <a:avLst/>
                              </a:prstGeom>
                              <a:grpFill/>
                              <a:ln w="12700" cap="flat" cmpd="sng" algn="ctr">
                                <a:noFill/>
                                <a:prstDash val="solid"/>
                                <a:miter lim="800000"/>
                              </a:ln>
                              <a:effectLst/>
                            </wps:spPr>
                            <wps:bodyPr anchor="ctr">
                              <a:noAutofit/>
                            </wps:bodyPr>
                          </wps:wsp>
                        </wpg:grpSp>
                      </wpg:grpSp>
                      <wpg:grpSp>
                        <wpg:cNvPr id="18" name="组合 59"/>
                        <wpg:cNvGrpSpPr/>
                        <wpg:grpSpPr>
                          <a:xfrm>
                            <a:off x="8239153" y="810766"/>
                            <a:ext cx="1986462" cy="3042184"/>
                            <a:chOff x="8239153" y="810766"/>
                            <a:chExt cx="2700000" cy="4134180"/>
                          </a:xfrm>
                        </wpg:grpSpPr>
                        <wps:wsp>
                          <wps:cNvPr id="119" name="椭圆 60" descr="KSO_WM_UNIT_INDEX=1_5_4&amp;KSO_WM_UNIT_TYPE=l_h_i&amp;KSO_WM_UNIT_ID=wpsdiag20176786_2*l_h_i*1_5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9&amp;KSO_WM_UNIT_FILL_BACK_SCHEMECOLOR_INDEX=0"/>
                          <wps:cNvSpPr>
                            <a:spLocks noChangeAspect="1"/>
                          </wps:cNvSpPr>
                          <wps:spPr>
                            <a:xfrm>
                              <a:off x="8239153" y="810766"/>
                              <a:ext cx="2700000" cy="2699503"/>
                            </a:xfrm>
                            <a:prstGeom prst="ellipse">
                              <a:avLst/>
                            </a:prstGeom>
                            <a:solidFill>
                              <a:schemeClr val="accent2">
                                <a:lumMod val="40000"/>
                                <a:lumOff val="60000"/>
                              </a:schemeClr>
                            </a:solidFill>
                            <a:ln w="12700" cap="flat" cmpd="sng" algn="ctr">
                              <a:noFill/>
                              <a:prstDash val="solid"/>
                              <a:miter lim="800000"/>
                            </a:ln>
                            <a:effectLst/>
                          </wps:spPr>
                          <wps:bodyPr anchor="ctr">
                            <a:noAutofit/>
                          </wps:bodyPr>
                        </wps:wsp>
                        <wpg:grpSp>
                          <wpg:cNvPr id="20" name="组合 61"/>
                          <wpg:cNvGrpSpPr/>
                          <wpg:grpSpPr>
                            <a:xfrm>
                              <a:off x="9441781" y="2671472"/>
                              <a:ext cx="351922" cy="2273474"/>
                              <a:chOff x="9441781" y="2671472"/>
                              <a:chExt cx="351922" cy="2273474"/>
                            </a:xfrm>
                            <a:solidFill>
                              <a:srgbClr val="2A3C50"/>
                            </a:solidFill>
                          </wpg:grpSpPr>
                          <wps:wsp>
                            <wps:cNvPr id="121" name="等腰三角形 62" descr="KSO_WM_UNIT_INDEX=1_5_1&amp;KSO_WM_UNIT_TYPE=l_h_i&amp;KSO_WM_UNIT_ID=wpsdiag20176786_2*l_h_i*1_5_1&amp;KSO_WM_UNIT_LAYERLEVEL=1_1_1&amp;KSO_WM_UNIT_CLEAR=1&amp;KSO_WM_TAG_VERSION=1.0&amp;KSO_WM_BEAUTIFY_FLAG=#wm#&amp;KSO_WM_TEMPLATE_CATEGORY=wpsdiag&amp;KSO_WM_TEMPLATE_INDEX=20176786&amp;KSO_WM_SLIDE_ITEM_CNT=5&amp;KSO_WM_DIAGRAM_GROUP_CODE=l1_1"/>
                            <wps:cNvSpPr/>
                            <wps:spPr>
                              <a:xfrm>
                                <a:off x="9443250" y="2671472"/>
                                <a:ext cx="350453" cy="2273474"/>
                              </a:xfrm>
                              <a:prstGeom prst="triangle">
                                <a:avLst/>
                              </a:prstGeom>
                              <a:grpFill/>
                              <a:ln w="12700" cap="flat" cmpd="sng" algn="ctr">
                                <a:noFill/>
                                <a:prstDash val="solid"/>
                                <a:miter lim="800000"/>
                              </a:ln>
                              <a:effectLst/>
                            </wps:spPr>
                            <wps:bodyPr anchor="ctr">
                              <a:noAutofit/>
                            </wps:bodyPr>
                          </wps:wsp>
                          <wps:wsp>
                            <wps:cNvPr id="122" name="等腰三角形 63" descr="KSO_WM_UNIT_INDEX=1_5_2&amp;KSO_WM_UNIT_TYPE=l_h_i&amp;KSO_WM_UNIT_ID=wpsdiag20176786_2*l_h_i*1_5_2&amp;KSO_WM_UNIT_LAYERLEVEL=1_1_1&amp;KSO_WM_UNIT_CLEAR=1&amp;KSO_WM_TAG_VERSION=1.0&amp;KSO_WM_BEAUTIFY_FLAG=#wm#&amp;KSO_WM_TEMPLATE_CATEGORY=wpsdiag&amp;KSO_WM_TEMPLATE_INDEX=20176786&amp;KSO_WM_SLIDE_ITEM_CNT=5&amp;KSO_WM_DIAGRAM_GROUP_CODE=l1_1"/>
                            <wps:cNvSpPr/>
                            <wps:spPr>
                              <a:xfrm rot="19518462">
                                <a:off x="9441781" y="3178502"/>
                                <a:ext cx="105105" cy="420750"/>
                              </a:xfrm>
                              <a:prstGeom prst="triangle">
                                <a:avLst/>
                              </a:prstGeom>
                              <a:grpFill/>
                              <a:ln w="12700" cap="flat" cmpd="sng" algn="ctr">
                                <a:noFill/>
                                <a:prstDash val="solid"/>
                                <a:miter lim="800000"/>
                              </a:ln>
                              <a:effectLst/>
                            </wps:spPr>
                            <wps:bodyPr anchor="ctr">
                              <a:noAutofit/>
                            </wps:bodyPr>
                          </wps:wsp>
                          <wps:wsp>
                            <wps:cNvPr id="123" name="等腰三角形 64" descr="KSO_WM_UNIT_INDEX=1_5_3&amp;KSO_WM_UNIT_TYPE=l_h_i&amp;KSO_WM_UNIT_ID=wpsdiag20176786_2*l_h_i*1_5_3&amp;KSO_WM_UNIT_LAYERLEVEL=1_1_1&amp;KSO_WM_UNIT_CLEAR=1&amp;KSO_WM_TAG_VERSION=1.0&amp;KSO_WM_BEAUTIFY_FLAG=#wm#&amp;KSO_WM_TEMPLATE_CATEGORY=wpsdiag&amp;KSO_WM_TEMPLATE_INDEX=20176786&amp;KSO_WM_SLIDE_ITEM_CNT=5&amp;KSO_WM_DIAGRAM_GROUP_CODE=l1_1"/>
                            <wps:cNvSpPr/>
                            <wps:spPr>
                              <a:xfrm rot="1632164">
                                <a:off x="9679942" y="3059132"/>
                                <a:ext cx="98058" cy="595369"/>
                              </a:xfrm>
                              <a:prstGeom prst="triangle">
                                <a:avLst/>
                              </a:prstGeom>
                              <a:grpFill/>
                              <a:ln w="12700" cap="flat" cmpd="sng" algn="ctr">
                                <a:noFill/>
                                <a:prstDash val="solid"/>
                                <a:miter lim="800000"/>
                              </a:ln>
                              <a:effectLst/>
                            </wps:spPr>
                            <wps:bodyPr anchor="ctr">
                              <a:noAutofit/>
                            </wps:bodyPr>
                          </wps:wsp>
                        </wpg:grpSp>
                      </wpg:grpSp>
                      <wps:wsp>
                        <wps:cNvPr id="125" name="文本框 62" descr="KSO_WM_UNIT_INDEX=1_2_1&amp;KSO_WM_UNIT_TYPE=l_h_a&amp;KSO_WM_UNIT_ID=wpsdiag20176786_2*l_h_a*1_2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wps:cNvSpPr txBox="1"/>
                        <wps:spPr>
                          <a:xfrm>
                            <a:off x="1855895" y="1639000"/>
                            <a:ext cx="2082033" cy="1240957"/>
                          </a:xfrm>
                          <a:prstGeom prst="rect">
                            <a:avLst/>
                          </a:prstGeom>
                          <a:noFill/>
                        </wps:spPr>
                        <wps:txbx>
                          <w:txbxContent>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完善生态资</w:t>
                              </w:r>
                            </w:p>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源管护机制</w:t>
                              </w:r>
                            </w:p>
                          </w:txbxContent>
                        </wps:txbx>
                        <wps:bodyPr wrap="square" rtlCol="0">
                          <a:noAutofit/>
                        </wps:bodyPr>
                      </wps:wsp>
                      <wps:wsp>
                        <wps:cNvPr id="126" name="文本框 64" descr="KSO_WM_UNIT_INDEX=1_3_1&amp;KSO_WM_UNIT_TYPE=l_h_a&amp;KSO_WM_UNIT_ID=wpsdiag20176786_2*l_h_a*1_3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wps:cNvSpPr txBox="1"/>
                        <wps:spPr>
                          <a:xfrm>
                            <a:off x="3727254" y="571048"/>
                            <a:ext cx="2586205" cy="1337216"/>
                          </a:xfrm>
                          <a:prstGeom prst="rect">
                            <a:avLst/>
                          </a:prstGeom>
                          <a:noFill/>
                        </wps:spPr>
                        <wps:txbx>
                          <w:txbxContent>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探索建立适应紫</w:t>
                              </w:r>
                            </w:p>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阳县的征占用生</w:t>
                              </w:r>
                            </w:p>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态公益林补偿</w:t>
                              </w:r>
                            </w:p>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机制</w:t>
                              </w:r>
                            </w:p>
                          </w:txbxContent>
                        </wps:txbx>
                        <wps:bodyPr wrap="square" rtlCol="0">
                          <a:noAutofit/>
                        </wps:bodyPr>
                      </wps:wsp>
                      <wps:wsp>
                        <wps:cNvPr id="127" name="文本框 66" descr="KSO_WM_UNIT_INDEX=1_4_1&amp;KSO_WM_UNIT_TYPE=l_h_a&amp;KSO_WM_UNIT_ID=wpsdiag20176786_2*l_h_a*1_4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wps:cNvSpPr txBox="1"/>
                        <wps:spPr>
                          <a:xfrm>
                            <a:off x="6231584" y="946978"/>
                            <a:ext cx="2049470" cy="1451686"/>
                          </a:xfrm>
                          <a:prstGeom prst="rect">
                            <a:avLst/>
                          </a:prstGeom>
                          <a:noFill/>
                        </wps:spPr>
                        <wps:txbx>
                          <w:txbxContent>
                            <w:p>
                              <w:pPr>
                                <w:adjustRightInd w:val="0"/>
                                <w:snapToGrid w:val="0"/>
                                <w:spacing w:line="240" w:lineRule="auto"/>
                                <w:ind w:firstLine="0" w:firstLineChars="0"/>
                                <w:jc w:val="center"/>
                                <w:rPr>
                                  <w:rFonts w:ascii="黑体" w:hAnsi="黑体" w:eastAsia="黑体"/>
                                  <w:color w:val="FFFFFF"/>
                                  <w:sz w:val="22"/>
                                </w:rPr>
                              </w:pPr>
                              <w:r>
                                <w:rPr>
                                  <w:rFonts w:hint="eastAsia" w:asciiTheme="minorHAnsi" w:hAnsiTheme="minorHAnsi" w:eastAsiaTheme="minorEastAsia"/>
                                  <w:sz w:val="22"/>
                                </w:rPr>
                                <w:t>建立</w:t>
                              </w:r>
                              <w:r>
                                <w:rPr>
                                  <w:rFonts w:hint="eastAsia" w:ascii="宋体" w:hAnsi="宋体" w:eastAsia="宋体"/>
                                  <w:sz w:val="22"/>
                                </w:rPr>
                                <w:t>碳市场能力建设（陕南）中心</w:t>
                              </w:r>
                            </w:p>
                          </w:txbxContent>
                        </wps:txbx>
                        <wps:bodyPr wrap="square" rtlCol="0">
                          <a:noAutofit/>
                        </wps:bodyPr>
                      </wps:wsp>
                      <wps:wsp>
                        <wps:cNvPr id="128" name="文本框 68" descr="KSO_WM_UNIT_INDEX=1_5_1&amp;KSO_WM_UNIT_TYPE=l_h_a&amp;KSO_WM_UNIT_ID=wpsdiag20176786_2*l_h_a*1_5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wps:cNvSpPr txBox="1"/>
                        <wps:spPr>
                          <a:xfrm>
                            <a:off x="8237157" y="1152503"/>
                            <a:ext cx="2036545" cy="1307298"/>
                          </a:xfrm>
                          <a:prstGeom prst="rect">
                            <a:avLst/>
                          </a:prstGeom>
                          <a:noFill/>
                        </wps:spPr>
                        <wps:txbx>
                          <w:txbxContent>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加强重点生态区森林资源保护</w:t>
                              </w:r>
                            </w:p>
                          </w:txbxContent>
                        </wps:txbx>
                        <wps:bodyPr wrap="square" rtlCol="0">
                          <a:noAutofit/>
                        </wps:bodyPr>
                      </wps:wsp>
                    </wpg:wgp>
                  </a:graphicData>
                </a:graphic>
              </wp:inline>
            </w:drawing>
          </mc:Choice>
          <mc:Fallback>
            <w:pict>
              <v:group id="组合 29" o:spid="_x0000_s1026" o:spt="203" alt="KSO_WM_TAG_VERSION=1.0&amp;KSO_WM_BEAUTIFY_FLAG=#wm#&amp;KSO_WM_UNIT_TYPE=i&amp;KSO_WM_UNIT_ID=wpsdiag20176786_2*i*12&amp;KSO_WM_TEMPLATE_CATEGORY=wpsdiag&amp;KSO_WM_TEMPLATE_INDEX=20176786" style="height:145.95pt;width:323.85pt;" coordorigin="1855895,55934" coordsize="8417807,3797017" o:gfxdata="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DRIHJs1wAA&#10;AAUBAAAPAAAAAAAAAAEAIAAAACIAAABkcnMvZG93bnJldi54bWxQSwECFAAUAAAACACHTuJAMy0u&#10;ErILAACEWAAADgAAAAAAAAABACAAAAAmAQAAZHJzL2Uyb0RvYy54bWxQSwUGAAAAAAYABgBZAQAA&#10;Sg8AAAAA&#10;">
                <o:lock v:ext="edit" aspectratio="f"/>
                <v:group id="组合 41" o:spid="_x0000_s1026" o:spt="203" style="position:absolute;left:1975392;top:1103073;height:2743467;width:1903915;" coordorigin="1959431,1103150" coordsize="2520157,363039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椭圆 42" o:spid="_x0000_s1026" o:spt="3" alt="KSO_WM_UNIT_INDEX=1_2_4&amp;KSO_WM_UNIT_TYPE=l_h_i&amp;KSO_WM_UNIT_ID=wpsdiag20176786_2*l_h_i*1_2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6&amp;KSO_WM_UNIT_FILL_BACK_SCHEMECOLOR_INDEX=0" type="#_x0000_t3" style="position:absolute;left:1959431;top:1103150;height:2520018;width:2520157;v-text-anchor:middle;" fillcolor="#ED7D31" filled="t" stroked="f" coordsize="21600,21600" o:gfxdata="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OaZS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t"/>
                  </v:shape>
                  <v:group id="组合 43" o:spid="_x0000_s1026" o:spt="203" style="position:absolute;left:3114052;top:2794748;height:1938796;width:351922;" coordorigin="3114052,2794748" coordsize="351922,193879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等腰三角形 44" o:spid="_x0000_s1026" o:spt="5" alt="KSO_WM_UNIT_INDEX=1_2_1&amp;KSO_WM_UNIT_TYPE=l_h_i&amp;KSO_WM_UNIT_ID=wpsdiag20176786_2*l_h_i*1_2_1&amp;KSO_WM_UNIT_LAYERLEVEL=1_1_1&amp;KSO_WM_UNIT_CLEAR=1&amp;KSO_WM_TAG_VERSION=1.0&amp;KSO_WM_BEAUTIFY_FLAG=#wm#&amp;KSO_WM_TEMPLATE_CATEGORY=wpsdiag&amp;KSO_WM_TEMPLATE_INDEX=20176786&amp;KSO_WM_SLIDE_ITEM_CNT=5&amp;KSO_WM_DIAGRAM_GROUP_CODE=l1_1" type="#_x0000_t5" style="position:absolute;left:3115520;top:2794748;height:1938796;width:350454;v-text-anchor:middle;" filled="t" stroked="f" coordsize="21600,21600" o:gfxdata="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HtDC/&#10;AAAA3A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shape>
                    <v:shape id="等腰三角形 45" o:spid="_x0000_s1026" o:spt="5" alt="KSO_WM_UNIT_INDEX=1_2_3&amp;KSO_WM_UNIT_TYPE=l_h_i&amp;KSO_WM_UNIT_ID=wpsdiag20176786_2*l_h_i*1_2_3&amp;KSO_WM_UNIT_LAYERLEVEL=1_1_1&amp;KSO_WM_UNIT_CLEAR=1&amp;KSO_WM_TAG_VERSION=1.0&amp;KSO_WM_BEAUTIFY_FLAG=#wm#&amp;KSO_WM_TEMPLATE_CATEGORY=wpsdiag&amp;KSO_WM_TEMPLATE_INDEX=20176786&amp;KSO_WM_SLIDE_ITEM_CNT=5&amp;KSO_WM_DIAGRAM_GROUP_CODE=l1_1" type="#_x0000_t5" style="position:absolute;left:3114052;top:3152370;height:420755;width:105103;rotation:-2273595f;v-text-anchor:middle;" filled="t" stroked="f" coordsize="21600,21600" o:gfxdata="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pvXC8AAAA&#10;3A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46" o:spid="_x0000_s1026" o:spt="5" alt="KSO_WM_UNIT_INDEX=1_2_2&amp;KSO_WM_UNIT_TYPE=l_h_i&amp;KSO_WM_UNIT_ID=wpsdiag20176786_2*l_h_i*1_2_2&amp;KSO_WM_UNIT_LAYERLEVEL=1_1_1&amp;KSO_WM_UNIT_CLEAR=1&amp;KSO_WM_TAG_VERSION=1.0&amp;KSO_WM_BEAUTIFY_FLAG=#wm#&amp;KSO_WM_TEMPLATE_CATEGORY=wpsdiag&amp;KSO_WM_TEMPLATE_INDEX=20176786&amp;KSO_WM_SLIDE_ITEM_CNT=5&amp;KSO_WM_DIAGRAM_GROUP_CODE=l1_1" type="#_x0000_t5" style="position:absolute;left:3352216;top:3032999;height:595367;width:98053;rotation:1782758f;v-text-anchor:middle;" filled="t" stroked="f" coordsize="21600,21600" o:gfxdata="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A/XbgAAADcAAAA&#10;DwAAAAAAAAABACAAAAAiAAAAZHJzL2Rvd25yZXYueG1sUEsBAhQAFAAAAAgAh07iQDMvBZ47AAAA&#10;OQAAABAAAAAAAAAAAQAgAAAABwEAAGRycy9zaGFwZXhtbC54bWxQSwUGAAAAAAYABgBbAQAAsQMA&#10;AAAA&#10;" adj="10800">
                      <v:fill on="t" focussize="0,0"/>
                      <v:stroke on="f" weight="1pt" miterlimit="8" joinstyle="miter"/>
                      <v:imagedata o:title=""/>
                      <o:lock v:ext="edit" aspectratio="f"/>
                    </v:shape>
                  </v:group>
                </v:group>
                <v:group id="组合 47" o:spid="_x0000_s1026" o:spt="203" style="position:absolute;left:3720756;top:55934;height:3785880;width:2392565;" coordorigin="3718162,55849" coordsize="2807250,4443131"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椭圆 48" o:spid="_x0000_s1026" o:spt="3" alt="KSO_WM_UNIT_INDEX=1_3_4&amp;KSO_WM_UNIT_TYPE=l_h_i&amp;KSO_WM_UNIT_ID=wpsdiag20176786_2*l_h_i*1_3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7&amp;KSO_WM_UNIT_FILL_BACK_SCHEMECOLOR_INDEX=0" type="#_x0000_t3" style="position:absolute;left:3718162;top:55849;height:2808979;width:2807250;v-text-anchor:middle;" fillcolor="#619ECD" filled="t" stroked="f" coordsize="21600,21600" o:gfxdata="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CFYrsAAADc&#10;AAAADwAAAAAAAAABACAAAAAiAAAAZHJzL2Rvd25yZXYueG1sUEsBAhQAFAAAAAgAh07iQDMvBZ47&#10;AAAAOQAAABAAAAAAAAAAAQAgAAAACgEAAGRycy9zaGFwZXhtbC54bWxQSwUGAAAAAAYABgBbAQAA&#10;tAMAAAAA&#10;">
                    <v:fill type="gradient" on="t" color2="#FDFDFD" colors="12452f #619ECD;28836f #88BBD7;65536f #FDFDFD" focus="100%" focussize="0,0" rotate="t"/>
                    <v:stroke on="f" weight="1pt" miterlimit="8" joinstyle="miter"/>
                    <v:imagedata o:title=""/>
                    <o:lock v:ext="edit" aspectratio="t"/>
                  </v:shape>
                  <v:group id="组合 49" o:spid="_x0000_s1026" o:spt="203" style="position:absolute;left:4911861;top:1897064;height:2601916;width:408969;" coordorigin="4911861,1897064" coordsize="408969,260191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等腰三角形 50" o:spid="_x0000_s1026" o:spt="5" alt="KSO_WM_UNIT_INDEX=1_3_1&amp;KSO_WM_UNIT_TYPE=l_h_i&amp;KSO_WM_UNIT_ID=wpsdiag20176786_2*l_h_i*1_3_1&amp;KSO_WM_UNIT_LAYERLEVEL=1_1_1&amp;KSO_WM_UNIT_CLEAR=1&amp;KSO_WM_TAG_VERSION=1.0&amp;KSO_WM_BEAUTIFY_FLAG=#wm#&amp;KSO_WM_TEMPLATE_CATEGORY=wpsdiag&amp;KSO_WM_TEMPLATE_INDEX=20176786&amp;KSO_WM_SLIDE_ITEM_CNT=5&amp;KSO_WM_DIAGRAM_GROUP_CODE=l1_1" type="#_x0000_t5" style="position:absolute;left:4951773;top:1897064;height:2601916;width:350451;v-text-anchor:middle;" filled="t" stroked="f" coordsize="21600,21600" o:gfxdata="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ixEvQAA&#10;ANw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v:shape id="等腰三角形 51" o:spid="_x0000_s1026" o:spt="5" alt="KSO_WM_UNIT_INDEX=1_3_2&amp;KSO_WM_UNIT_TYPE=l_h_i&amp;KSO_WM_UNIT_ID=wpsdiag20176786_2*l_h_i*1_3_2&amp;KSO_WM_UNIT_LAYERLEVEL=1_1_1&amp;KSO_WM_UNIT_CLEAR=1&amp;KSO_WM_TAG_VERSION=1.0&amp;KSO_WM_BEAUTIFY_FLAG=#wm#&amp;KSO_WM_TEMPLATE_CATEGORY=wpsdiag&amp;KSO_WM_TEMPLATE_INDEX=20176786&amp;KSO_WM_SLIDE_ITEM_CNT=5&amp;KSO_WM_DIAGRAM_GROUP_CODE=l1_1" type="#_x0000_t5" style="position:absolute;left:4911861;top:2400647;height:594777;width:79823;rotation:-2273595f;v-text-anchor:middle;" filled="t" stroked="f" coordsize="21600,21600" o:gfxdata="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MU7b4A&#10;AADcAAAADwAAAAAAAAABACAAAAAiAAAAZHJzL2Rvd25yZXYueG1sUEsBAhQAFAAAAAgAh07iQDMv&#10;BZ47AAAAOQAAABAAAAAAAAAAAQAgAAAADQEAAGRycy9zaGFwZXhtbC54bWxQSwUGAAAAAAYABgBb&#10;AQAAtwMAAAAA&#10;" adj="10800">
                      <v:fill on="t" focussize="0,0"/>
                      <v:stroke on="f" weight="1pt" miterlimit="8" joinstyle="miter"/>
                      <v:imagedata o:title=""/>
                      <o:lock v:ext="edit" aspectratio="f"/>
                    </v:shape>
                    <v:shape id="等腰三角形 52" o:spid="_x0000_s1026" o:spt="5" alt="KSO_WM_UNIT_INDEX=1_3_3&amp;KSO_WM_UNIT_TYPE=l_h_i&amp;KSO_WM_UNIT_ID=wpsdiag20176786_2*l_h_i*1_3_3&amp;KSO_WM_UNIT_LAYERLEVEL=1_1_1&amp;KSO_WM_UNIT_CLEAR=1&amp;KSO_WM_TAG_VERSION=1.0&amp;KSO_WM_BEAUTIFY_FLAG=#wm#&amp;KSO_WM_TEMPLATE_CATEGORY=wpsdiag&amp;KSO_WM_TEMPLATE_INDEX=20176786&amp;KSO_WM_SLIDE_ITEM_CNT=5&amp;KSO_WM_DIAGRAM_GROUP_CODE=l1_1" type="#_x0000_t5" style="position:absolute;left:5222775;top:2214995;height:595370;width:98055;rotation:1782758f;v-text-anchor:middle;" filled="t" stroked="f" coordsize="21600,21600" o:gfxdata="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AStLLgAAADcAAAA&#10;DwAAAAAAAAABACAAAAAiAAAAZHJzL2Rvd25yZXYueG1sUEsBAhQAFAAAAAgAh07iQDMvBZ47AAAA&#10;OQAAABAAAAAAAAAAAQAgAAAABwEAAGRycy9zaGFwZXhtbC54bWxQSwUGAAAAAAYABgBbAQAAsQMA&#10;AAAA&#10;" adj="10800">
                      <v:fill on="t" focussize="0,0"/>
                      <v:stroke on="f" weight="1pt" miterlimit="8" joinstyle="miter"/>
                      <v:imagedata o:title=""/>
                      <o:lock v:ext="edit" aspectratio="f"/>
                    </v:shape>
                  </v:group>
                </v:group>
                <v:group id="组合 53" o:spid="_x0000_s1026" o:spt="203" style="position:absolute;left:6023943;top:367414;height:3485537;width:2275958;" coordorigin="6023943,367414" coordsize="2700000,413418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椭圆 54" o:spid="_x0000_s1026" o:spt="3" alt="KSO_WM_UNIT_INDEX=1_4_1&amp;KSO_WM_UNIT_TYPE=l_h_i&amp;KSO_WM_UNIT_ID=wpsdiag20176786_2*l_h_i*1_4_1&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8&amp;KSO_WM_UNIT_FILL_BACK_SCHEMECOLOR_INDEX=0" type="#_x0000_t3" style="position:absolute;left:6023943;top:367414;height:2699503;width:2700000;v-text-anchor:middle;" fillcolor="#9EE256" filled="t" stroked="f" coordsize="21600,21600" o:gfxdata="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tsZa8AAAA&#10;3AAAAA8AAAAAAAAAAQAgAAAAIgAAAGRycy9kb3ducmV2LnhtbFBLAQIUABQAAAAIAIdO4kAzLwWe&#10;OwAAADkAAAAQAAAAAAAAAAEAIAAAAAsBAABkcnMvc2hhcGV4bWwueG1sUEsFBgAAAAAGAAYAWwEA&#10;ALUDAAAAAA==&#10;">
                    <v:fill type="gradient" on="t" color2="#52762D" focus="100%" focussize="0,0" rotate="t">
                      <o:fill type="gradientUnscaled" v:ext="backwardCompatible"/>
                    </v:fill>
                    <v:stroke on="f" weight="1pt" miterlimit="8" joinstyle="miter"/>
                    <v:imagedata o:title=""/>
                    <o:lock v:ext="edit" aspectratio="t"/>
                  </v:shape>
                  <v:group id="组合 55" o:spid="_x0000_s1026" o:spt="203" style="position:absolute;left:7226571;top:2228120;height:2273474;width:351922;" coordorigin="7226571,2228120" coordsize="351922,2273474"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等腰三角形 56" o:spid="_x0000_s1026" o:spt="5" alt="KSO_WM_UNIT_INDEX=1_4_4&amp;KSO_WM_UNIT_TYPE=l_h_i&amp;KSO_WM_UNIT_ID=wpsdiag20176786_2*l_h_i*1_4_4&amp;KSO_WM_UNIT_LAYERLEVEL=1_1_1&amp;KSO_WM_UNIT_CLEAR=1&amp;KSO_WM_TAG_VERSION=1.0&amp;KSO_WM_BEAUTIFY_FLAG=#wm#&amp;KSO_WM_TEMPLATE_CATEGORY=wpsdiag&amp;KSO_WM_TEMPLATE_INDEX=20176786&amp;KSO_WM_SLIDE_ITEM_CNT=5&amp;KSO_WM_DIAGRAM_GROUP_CODE=l1_1" type="#_x0000_t5" style="position:absolute;left:7228041;top:2228120;height:2273474;width:350452;v-text-anchor:middle;" filled="t" stroked="f" coordsize="21600,21600" o:gfxdata="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MvJq8AAAA&#10;3A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57" o:spid="_x0000_s1026" o:spt="5" alt="KSO_WM_UNIT_INDEX=1_4_3&amp;KSO_WM_UNIT_TYPE=l_h_i&amp;KSO_WM_UNIT_ID=wpsdiag20176786_2*l_h_i*1_4_3&amp;KSO_WM_UNIT_LAYERLEVEL=1_1_1&amp;KSO_WM_UNIT_CLEAR=1&amp;KSO_WM_TAG_VERSION=1.0&amp;KSO_WM_BEAUTIFY_FLAG=#wm#&amp;KSO_WM_TEMPLATE_CATEGORY=wpsdiag&amp;KSO_WM_TEMPLATE_INDEX=20176786&amp;KSO_WM_SLIDE_ITEM_CNT=5&amp;KSO_WM_DIAGRAM_GROUP_CODE=l1_1" type="#_x0000_t5" style="position:absolute;left:7226571;top:2735152;height:420753;width:105104;rotation:-2273595f;v-text-anchor:middle;" filled="t" stroked="f" coordsize="21600,21600" o:gfxdata="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LLa68AAAA&#10;3A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58" o:spid="_x0000_s1026" o:spt="5" alt="KSO_WM_UNIT_INDEX=1_4_2&amp;KSO_WM_UNIT_TYPE=l_h_i&amp;KSO_WM_UNIT_ID=wpsdiag20176786_2*l_h_i*1_4_2&amp;KSO_WM_UNIT_LAYERLEVEL=1_1_1&amp;KSO_WM_UNIT_CLEAR=1&amp;KSO_WM_TAG_VERSION=1.0&amp;KSO_WM_BEAUTIFY_FLAG=#wm#&amp;KSO_WM_TEMPLATE_CATEGORY=wpsdiag&amp;KSO_WM_TEMPLATE_INDEX=20176786&amp;KSO_WM_SLIDE_ITEM_CNT=5&amp;KSO_WM_DIAGRAM_GROUP_CODE=l1_1" type="#_x0000_t5" style="position:absolute;left:7464734;top:2615779;height:595367;width:98055;rotation:1782758f;v-text-anchor:middle;" filled="t" stroked="f" coordsize="21600,21600" o:gfxdata="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Cr4O5AAAA3AAA&#10;AA8AAAAAAAAAAQAgAAAAIgAAAGRycy9kb3ducmV2LnhtbFBLAQIUABQAAAAIAIdO4kAzLwWeOwAA&#10;ADkAAAAQAAAAAAAAAAEAIAAAAAgBAABkcnMvc2hhcGV4bWwueG1sUEsFBgAAAAAGAAYAWwEAALID&#10;AAAAAA==&#10;" adj="10800">
                      <v:fill on="t" focussize="0,0"/>
                      <v:stroke on="f" weight="1pt" miterlimit="8" joinstyle="miter"/>
                      <v:imagedata o:title=""/>
                      <o:lock v:ext="edit" aspectratio="f"/>
                    </v:shape>
                  </v:group>
                </v:group>
                <v:group id="组合 59" o:spid="_x0000_s1026" o:spt="203" style="position:absolute;left:8239153;top:810766;height:3042184;width:1986462;" coordorigin="8239153,810766" coordsize="2700000,413418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椭圆 60" o:spid="_x0000_s1026" o:spt="3" alt="KSO_WM_UNIT_INDEX=1_5_4&amp;KSO_WM_UNIT_TYPE=l_h_i&amp;KSO_WM_UNIT_ID=wpsdiag20176786_2*l_h_i*1_5_4&amp;KSO_WM_UNIT_LAYERLEVEL=1_1_1&amp;KSO_WM_UNIT_CLEAR=1&amp;KSO_WM_TAG_VERSION=1.0&amp;KSO_WM_BEAUTIFY_FLAG=#wm#&amp;KSO_WM_TEMPLATE_CATEGORY=wpsdiag&amp;KSO_WM_TEMPLATE_INDEX=20176786&amp;KSO_WM_SLIDE_ITEM_CNT=5&amp;KSO_WM_DIAGRAM_GROUP_CODE=l1_1&amp;KSO_WM_UNIT_FILL_TYPE=1&amp;KSO_WM_UNIT_FILL_FORE_SCHEMECOLOR_INDEX=9&amp;KSO_WM_UNIT_FILL_BACK_SCHEMECOLOR_INDEX=0" type="#_x0000_t3" style="position:absolute;left:8239153;top:810766;height:2699503;width:2700000;v-text-anchor:middle;" fillcolor="#F8CBAD [1301]" filled="t" stroked="f" coordsize="21600,21600" o:gfxdata="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2qo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id="组合 61" o:spid="_x0000_s1026" o:spt="203" style="position:absolute;left:9441781;top:2671472;height:2273474;width:351922;" coordorigin="9441781,2671472" coordsize="351922,2273474"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等腰三角形 62" o:spid="_x0000_s1026" o:spt="5" alt="KSO_WM_UNIT_INDEX=1_5_1&amp;KSO_WM_UNIT_TYPE=l_h_i&amp;KSO_WM_UNIT_ID=wpsdiag20176786_2*l_h_i*1_5_1&amp;KSO_WM_UNIT_LAYERLEVEL=1_1_1&amp;KSO_WM_UNIT_CLEAR=1&amp;KSO_WM_TAG_VERSION=1.0&amp;KSO_WM_BEAUTIFY_FLAG=#wm#&amp;KSO_WM_TEMPLATE_CATEGORY=wpsdiag&amp;KSO_WM_TEMPLATE_INDEX=20176786&amp;KSO_WM_SLIDE_ITEM_CNT=5&amp;KSO_WM_DIAGRAM_GROUP_CODE=l1_1" type="#_x0000_t5" style="position:absolute;left:9443250;top:2671472;height:2273474;width:350453;v-text-anchor:middle;" filled="t" stroked="f" coordsize="21600,21600" o:gfxdata="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cu8AAAA&#10;3A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63" o:spid="_x0000_s1026" o:spt="5" alt="KSO_WM_UNIT_INDEX=1_5_2&amp;KSO_WM_UNIT_TYPE=l_h_i&amp;KSO_WM_UNIT_ID=wpsdiag20176786_2*l_h_i*1_5_2&amp;KSO_WM_UNIT_LAYERLEVEL=1_1_1&amp;KSO_WM_UNIT_CLEAR=1&amp;KSO_WM_TAG_VERSION=1.0&amp;KSO_WM_BEAUTIFY_FLAG=#wm#&amp;KSO_WM_TEMPLATE_CATEGORY=wpsdiag&amp;KSO_WM_TEMPLATE_INDEX=20176786&amp;KSO_WM_SLIDE_ITEM_CNT=5&amp;KSO_WM_DIAGRAM_GROUP_CODE=l1_1" type="#_x0000_t5" style="position:absolute;left:9441781;top:3178502;height:420750;width:105105;rotation:-2273595f;v-text-anchor:middle;" filled="t" stroked="f" coordsize="21600,21600" o:gfxdata="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Of2e8AAAA&#10;3A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64" o:spid="_x0000_s1026" o:spt="5" alt="KSO_WM_UNIT_INDEX=1_5_3&amp;KSO_WM_UNIT_TYPE=l_h_i&amp;KSO_WM_UNIT_ID=wpsdiag20176786_2*l_h_i*1_5_3&amp;KSO_WM_UNIT_LAYERLEVEL=1_1_1&amp;KSO_WM_UNIT_CLEAR=1&amp;KSO_WM_TAG_VERSION=1.0&amp;KSO_WM_BEAUTIFY_FLAG=#wm#&amp;KSO_WM_TEMPLATE_CATEGORY=wpsdiag&amp;KSO_WM_TEMPLATE_INDEX=20176786&amp;KSO_WM_SLIDE_ITEM_CNT=5&amp;KSO_WM_DIAGRAM_GROUP_CODE=l1_1" type="#_x0000_t5" style="position:absolute;left:9679942;top:3059132;height:595369;width:98058;rotation:1782758f;v-text-anchor:middle;" filled="t" stroked="f" coordsize="21600,21600" o:gfxdata="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Zxqa5AAAA3AAA&#10;AA8AAAAAAAAAAQAgAAAAIgAAAGRycy9kb3ducmV2LnhtbFBLAQIUABQAAAAIAIdO4kAzLwWeOwAA&#10;ADkAAAAQAAAAAAAAAAEAIAAAAAgBAABkcnMvc2hhcGV4bWwueG1sUEsFBgAAAAAGAAYAWwEAALID&#10;AAAAAA==&#10;" adj="10800">
                      <v:fill on="t" focussize="0,0"/>
                      <v:stroke on="f" weight="1pt" miterlimit="8" joinstyle="miter"/>
                      <v:imagedata o:title=""/>
                      <o:lock v:ext="edit" aspectratio="f"/>
                    </v:shape>
                  </v:group>
                </v:group>
                <v:shape id="文本框 62" o:spid="_x0000_s1026" o:spt="202" alt="KSO_WM_UNIT_INDEX=1_2_1&amp;KSO_WM_UNIT_TYPE=l_h_a&amp;KSO_WM_UNIT_ID=wpsdiag20176786_2*l_h_a*1_2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type="#_x0000_t202" style="position:absolute;left:1855895;top:1639000;height:1240957;width:2082033;"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完善生态资</w:t>
                        </w:r>
                      </w:p>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源管护机制</w:t>
                        </w:r>
                      </w:p>
                    </w:txbxContent>
                  </v:textbox>
                </v:shape>
                <v:shape id="文本框 64" o:spid="_x0000_s1026" o:spt="202" alt="KSO_WM_UNIT_INDEX=1_3_1&amp;KSO_WM_UNIT_TYPE=l_h_a&amp;KSO_WM_UNIT_ID=wpsdiag20176786_2*l_h_a*1_3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type="#_x0000_t202" style="position:absolute;left:3727254;top:571048;height:1337216;width:2586205;"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探索建立适应紫</w:t>
                        </w:r>
                      </w:p>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阳县的征占用生</w:t>
                        </w:r>
                      </w:p>
                      <w:p>
                        <w:pPr>
                          <w:adjustRightInd w:val="0"/>
                          <w:snapToGrid w:val="0"/>
                          <w:spacing w:line="240" w:lineRule="auto"/>
                          <w:ind w:firstLine="0" w:firstLineChars="0"/>
                          <w:jc w:val="center"/>
                          <w:rPr>
                            <w:rFonts w:asciiTheme="minorHAnsi" w:hAnsiTheme="minorHAnsi" w:eastAsiaTheme="minorEastAsia"/>
                            <w:sz w:val="22"/>
                          </w:rPr>
                        </w:pPr>
                        <w:r>
                          <w:rPr>
                            <w:rFonts w:hint="eastAsia" w:ascii="宋体" w:hAnsi="宋体" w:eastAsia="宋体"/>
                            <w:sz w:val="22"/>
                          </w:rPr>
                          <w:t>态公益林补偿</w:t>
                        </w:r>
                      </w:p>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机制</w:t>
                        </w:r>
                      </w:p>
                    </w:txbxContent>
                  </v:textbox>
                </v:shape>
                <v:shape id="文本框 66" o:spid="_x0000_s1026" o:spt="202" alt="KSO_WM_UNIT_INDEX=1_4_1&amp;KSO_WM_UNIT_TYPE=l_h_a&amp;KSO_WM_UNIT_ID=wpsdiag20176786_2*l_h_a*1_4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type="#_x0000_t202" style="position:absolute;left:6231584;top:946978;height:1451686;width:2049470;"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adjustRightInd w:val="0"/>
                          <w:snapToGrid w:val="0"/>
                          <w:spacing w:line="240" w:lineRule="auto"/>
                          <w:ind w:firstLine="0" w:firstLineChars="0"/>
                          <w:jc w:val="center"/>
                          <w:rPr>
                            <w:rFonts w:ascii="黑体" w:hAnsi="黑体" w:eastAsia="黑体"/>
                            <w:color w:val="FFFFFF"/>
                            <w:sz w:val="22"/>
                          </w:rPr>
                        </w:pPr>
                        <w:r>
                          <w:rPr>
                            <w:rFonts w:hint="eastAsia" w:asciiTheme="minorHAnsi" w:hAnsiTheme="minorHAnsi" w:eastAsiaTheme="minorEastAsia"/>
                            <w:sz w:val="22"/>
                          </w:rPr>
                          <w:t>建立</w:t>
                        </w:r>
                        <w:r>
                          <w:rPr>
                            <w:rFonts w:hint="eastAsia" w:ascii="宋体" w:hAnsi="宋体" w:eastAsia="宋体"/>
                            <w:sz w:val="22"/>
                          </w:rPr>
                          <w:t>碳市场能力建设（陕南）中心</w:t>
                        </w:r>
                      </w:p>
                    </w:txbxContent>
                  </v:textbox>
                </v:shape>
                <v:shape id="文本框 68" o:spid="_x0000_s1026" o:spt="202" alt="KSO_WM_UNIT_INDEX=1_5_1&amp;KSO_WM_UNIT_TYPE=l_h_a&amp;KSO_WM_UNIT_ID=wpsdiag20176786_2*l_h_a*1_5_1&amp;KSO_WM_UNIT_LAYERLEVEL=1_1_1&amp;KSO_WM_UNIT_HIGHLIGHT=0&amp;KSO_WM_UNIT_CLEAR=0&amp;KSO_WM_UNIT_COMPATIBLE=0&amp;KSO_WM_UNIT_PRESET_TEXT=ADD YOUR TEXT&amp;KSO_WM_UNIT_VALUE=6&amp;KSO_WM_TAG_VERSION=1.0&amp;KSO_WM_BEAUTIFY_FLAG=#wm#&amp;KSO_WM_TEMPLATE_CATEGORY=wpsdiag&amp;KSO_WM_TEMPLATE_INDEX=20176786&amp;KSO_WM_SLIDE_ITEM_CNT=5&amp;KSO_WM_DIAGRAM_GROUP_CODE=l1_1&amp;KSO_WM_UNIT_TEXT_FILL_TYPE=1&amp;KSO_WM_UNIT_TEXT_FILL_FORE_SCHEMECOLOR_INDEX=1" type="#_x0000_t202" style="position:absolute;left:8237157;top:1152503;height:1307298;width:2036545;" filled="f" stroked="f" coordsize="21600,21600" o:gfxdata="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IC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spacing w:line="240" w:lineRule="auto"/>
                          <w:ind w:firstLine="0" w:firstLineChars="0"/>
                          <w:jc w:val="center"/>
                          <w:rPr>
                            <w:rFonts w:ascii="黑体" w:hAnsi="黑体" w:eastAsia="黑体"/>
                            <w:color w:val="FFFFFF"/>
                            <w:sz w:val="22"/>
                          </w:rPr>
                        </w:pPr>
                        <w:r>
                          <w:rPr>
                            <w:rFonts w:hint="eastAsia" w:ascii="宋体" w:hAnsi="宋体" w:eastAsia="宋体"/>
                            <w:sz w:val="22"/>
                          </w:rPr>
                          <w:t>加强重点生态区森林资源保护</w:t>
                        </w:r>
                      </w:p>
                    </w:txbxContent>
                  </v:textbox>
                </v:shape>
                <w10:wrap type="none"/>
                <w10:anchorlock/>
              </v:group>
            </w:pict>
          </mc:Fallback>
        </mc:AlternateContent>
      </w:r>
    </w:p>
    <w:p>
      <w:pPr>
        <w:pStyle w:val="12"/>
        <w:overflowPunct w:val="0"/>
        <w:spacing w:line="360" w:lineRule="auto"/>
        <w:ind w:firstLine="432" w:firstLineChars="200"/>
        <w:jc w:val="center"/>
        <w:rPr>
          <w:rFonts w:ascii="Times New Roman" w:hAnsi="Times New Roman" w:eastAsia="宋体" w:cs="Times New Roman"/>
          <w:b w:val="0"/>
          <w:bCs/>
          <w:w w:val="90"/>
          <w:sz w:val="24"/>
        </w:rPr>
      </w:pPr>
      <w:r>
        <w:rPr>
          <w:rFonts w:ascii="Times New Roman" w:hAnsi="Times New Roman" w:eastAsia="宋体" w:cs="Times New Roman"/>
          <w:b w:val="0"/>
          <w:bCs/>
          <w:w w:val="90"/>
          <w:sz w:val="24"/>
        </w:rPr>
        <w:t>图</w:t>
      </w:r>
      <w:r>
        <w:rPr>
          <w:rFonts w:hint="eastAsia" w:ascii="Times New Roman" w:hAnsi="Times New Roman" w:eastAsia="宋体" w:cs="Times New Roman"/>
          <w:b w:val="0"/>
          <w:bCs/>
          <w:w w:val="90"/>
          <w:sz w:val="24"/>
        </w:rPr>
        <w:t>6</w:t>
      </w:r>
      <w:r>
        <w:rPr>
          <w:rFonts w:ascii="Times New Roman" w:hAnsi="Times New Roman" w:eastAsia="宋体" w:cs="Times New Roman"/>
          <w:b w:val="0"/>
          <w:bCs/>
          <w:w w:val="90"/>
          <w:sz w:val="24"/>
        </w:rPr>
        <w:t>-2</w:t>
      </w:r>
      <w:r>
        <w:rPr>
          <w:rFonts w:hint="eastAsia" w:ascii="Times New Roman" w:hAnsi="Times New Roman" w:eastAsia="宋体" w:cs="Times New Roman"/>
          <w:b w:val="0"/>
          <w:bCs/>
          <w:w w:val="90"/>
          <w:sz w:val="24"/>
        </w:rPr>
        <w:t>：</w:t>
      </w:r>
      <w:r>
        <w:rPr>
          <w:rFonts w:ascii="Times New Roman" w:hAnsi="Times New Roman" w:eastAsia="宋体" w:cs="Times New Roman"/>
          <w:b w:val="0"/>
          <w:bCs/>
          <w:w w:val="90"/>
          <w:sz w:val="24"/>
        </w:rPr>
        <w:t>生态保护补偿机制类型</w:t>
      </w:r>
    </w:p>
    <w:p>
      <w:pPr>
        <w:overflowPunct w:val="0"/>
        <w:ind w:firstLine="643"/>
        <w:outlineLvl w:val="2"/>
        <w:rPr>
          <w:rFonts w:ascii="楷体" w:hAnsi="楷体" w:eastAsia="楷体"/>
          <w:b w:val="0"/>
          <w:bCs/>
          <w:szCs w:val="24"/>
        </w:rPr>
      </w:pPr>
      <w:bookmarkStart w:id="227" w:name="_Toc10545893"/>
      <w:bookmarkStart w:id="228" w:name="_Toc7946188"/>
      <w:bookmarkStart w:id="229" w:name="_Toc12549195"/>
      <w:r>
        <w:rPr>
          <w:rFonts w:hint="eastAsia" w:ascii="楷体" w:hAnsi="楷体" w:eastAsia="楷体"/>
          <w:b w:val="0"/>
          <w:bCs/>
          <w:szCs w:val="24"/>
        </w:rPr>
        <w:t>（二）增加生态产品和服务供给</w:t>
      </w:r>
      <w:bookmarkEnd w:id="227"/>
      <w:bookmarkEnd w:id="228"/>
      <w:bookmarkEnd w:id="229"/>
    </w:p>
    <w:p>
      <w:pPr>
        <w:overflowPunct w:val="0"/>
        <w:ind w:firstLine="640"/>
        <w:rPr>
          <w:rFonts w:ascii="宋体" w:hAnsi="宋体" w:eastAsia="宋体"/>
          <w:b w:val="0"/>
          <w:bCs/>
          <w:szCs w:val="24"/>
        </w:rPr>
      </w:pPr>
      <w:r>
        <w:rPr>
          <w:rFonts w:hint="eastAsia" w:ascii="仿宋_GB2312" w:hAnsi="仿宋_GB2312" w:eastAsia="仿宋_GB2312" w:cs="仿宋_GB2312"/>
          <w:b w:val="0"/>
          <w:bCs/>
          <w:szCs w:val="24"/>
        </w:rPr>
        <w:t>顺应人民群众对乡村优美环境、生态产品和服务需求不断增长的趋势，正确处理开发与保护的关系，将乡村生态优势转化为生态经济发展优势，提供更多更好的绿色生态产品和服务。做优“硒+X”产业模式，加快发展生态观光、康养产业，促进一二三产业融合发展，实现产业接环搭链、互补互促。打造一批特色生态旅游示范村和精品线路，构建以</w:t>
      </w:r>
      <w:r>
        <w:rPr>
          <w:rFonts w:hint="eastAsia" w:ascii="仿宋_GB2312" w:hAnsi="仿宋_GB2312" w:eastAsia="仿宋_GB2312" w:cs="仿宋_GB2312"/>
          <w:b w:val="0"/>
          <w:bCs/>
          <w:szCs w:val="24"/>
          <w:lang w:val="zh-CN"/>
        </w:rPr>
        <w:t>向阳、焕古、城关、</w:t>
      </w:r>
      <w:r>
        <w:rPr>
          <w:rFonts w:hint="eastAsia" w:ascii="仿宋_GB2312" w:hAnsi="仿宋_GB2312" w:eastAsia="仿宋_GB2312" w:cs="仿宋_GB2312"/>
          <w:b w:val="0"/>
          <w:bCs/>
          <w:szCs w:val="24"/>
        </w:rPr>
        <w:t>红椿、东木镇为重点的富硒茶文化旅游体验区，以</w:t>
      </w:r>
      <w:r>
        <w:rPr>
          <w:rFonts w:hint="eastAsia" w:ascii="仿宋_GB2312" w:hAnsi="仿宋_GB2312" w:eastAsia="仿宋_GB2312" w:cs="仿宋_GB2312"/>
          <w:b w:val="0"/>
          <w:bCs/>
          <w:szCs w:val="24"/>
          <w:lang w:val="zh-CN"/>
        </w:rPr>
        <w:t>汉王、双安、蒿坪、洞河、洄水镇</w:t>
      </w:r>
      <w:r>
        <w:rPr>
          <w:rFonts w:hint="eastAsia" w:ascii="仿宋_GB2312" w:hAnsi="仿宋_GB2312" w:eastAsia="仿宋_GB2312" w:cs="仿宋_GB2312"/>
          <w:b w:val="0"/>
          <w:bCs/>
          <w:szCs w:val="24"/>
        </w:rPr>
        <w:t>为重点的富硒生态康养旅游区，以</w:t>
      </w:r>
      <w:r>
        <w:rPr>
          <w:rFonts w:hint="eastAsia" w:ascii="仿宋_GB2312" w:hAnsi="仿宋_GB2312" w:eastAsia="仿宋_GB2312" w:cs="仿宋_GB2312"/>
          <w:b w:val="0"/>
          <w:bCs/>
          <w:szCs w:val="24"/>
          <w:lang w:val="zh-CN"/>
        </w:rPr>
        <w:t>高桥、双桥、界岭镇</w:t>
      </w:r>
      <w:r>
        <w:rPr>
          <w:rFonts w:hint="eastAsia" w:ascii="仿宋_GB2312" w:hAnsi="仿宋_GB2312" w:eastAsia="仿宋_GB2312" w:cs="仿宋_GB2312"/>
          <w:b w:val="0"/>
          <w:bCs/>
          <w:szCs w:val="24"/>
        </w:rPr>
        <w:t>为重点的大巴山山地生态旅游体验区，以</w:t>
      </w:r>
      <w:r>
        <w:rPr>
          <w:rFonts w:hint="eastAsia" w:ascii="仿宋_GB2312" w:hAnsi="仿宋_GB2312" w:eastAsia="仿宋_GB2312" w:cs="仿宋_GB2312"/>
          <w:b w:val="0"/>
          <w:bCs/>
          <w:szCs w:val="24"/>
          <w:lang w:val="zh-CN"/>
        </w:rPr>
        <w:t>瓦庙、麻柳、毛坝、高滩镇</w:t>
      </w:r>
      <w:r>
        <w:rPr>
          <w:rFonts w:hint="eastAsia" w:ascii="仿宋_GB2312" w:hAnsi="仿宋_GB2312" w:eastAsia="仿宋_GB2312" w:cs="仿宋_GB2312"/>
          <w:b w:val="0"/>
          <w:bCs/>
          <w:szCs w:val="24"/>
        </w:rPr>
        <w:t>为重点的任河商贸水运文化体验区“四区”联动的生态旅游战略格局。</w:t>
      </w:r>
    </w:p>
    <w:p>
      <w:pPr>
        <w:spacing w:before="240" w:beforeLines="100" w:after="120" w:afterLines="50" w:line="360" w:lineRule="auto"/>
        <w:ind w:firstLine="640"/>
        <w:jc w:val="center"/>
        <w:rPr>
          <w:rFonts w:ascii="黑体" w:hAnsi="黑体" w:eastAsia="黑体"/>
          <w:b w:val="0"/>
          <w:bCs/>
          <w:szCs w:val="32"/>
        </w:rPr>
        <w:sectPr>
          <w:footerReference r:id="rId22" w:type="first"/>
          <w:footerReference r:id="rId21"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230" w:name="_Toc24590"/>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231" w:name="_Toc13720"/>
      <w:bookmarkStart w:id="232" w:name="_Toc6710"/>
      <w:bookmarkStart w:id="233" w:name="_Toc29625"/>
      <w:r>
        <w:rPr>
          <w:rFonts w:hint="eastAsia" w:ascii="黑体" w:hAnsi="黑体" w:eastAsia="黑体"/>
          <w:b w:val="0"/>
          <w:bCs/>
          <w:szCs w:val="32"/>
        </w:rPr>
        <w:t>第七章 大力培育乡风文明 提升乡村振兴内涵</w:t>
      </w:r>
      <w:bookmarkEnd w:id="230"/>
      <w:bookmarkEnd w:id="231"/>
      <w:bookmarkEnd w:id="232"/>
      <w:bookmarkEnd w:id="233"/>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坚持以社会主义核心价值观为引领，积极传承发展中华优秀传统文化，健全乡村公共文化服务体系，提升农民精神风貌，繁荣文化乡村，培育文明乡风、良好家风和淳朴民风。</w:t>
      </w:r>
    </w:p>
    <w:p>
      <w:pPr>
        <w:ind w:firstLine="640"/>
        <w:outlineLvl w:val="1"/>
        <w:rPr>
          <w:rFonts w:ascii="黑体" w:hAnsi="黑体" w:eastAsia="黑体"/>
          <w:b w:val="0"/>
          <w:bCs/>
        </w:rPr>
      </w:pPr>
      <w:bookmarkStart w:id="234" w:name="_Toc18420"/>
      <w:bookmarkStart w:id="235" w:name="_Toc9858"/>
      <w:bookmarkStart w:id="236" w:name="_Toc6059"/>
      <w:bookmarkStart w:id="237" w:name="_Toc17111"/>
      <w:r>
        <w:rPr>
          <w:rFonts w:hint="eastAsia" w:ascii="黑体" w:hAnsi="黑体" w:eastAsia="黑体"/>
          <w:b w:val="0"/>
          <w:bCs/>
        </w:rPr>
        <w:t>一、加强乡村文明建设</w:t>
      </w:r>
      <w:bookmarkEnd w:id="234"/>
      <w:bookmarkEnd w:id="235"/>
      <w:bookmarkEnd w:id="236"/>
      <w:bookmarkEnd w:id="237"/>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坚持破立结合、疏堵并举，以培育新时代农民为着力点，深入推进“诚孝俭勤和”新民风建设，提升农民精神风貌，提高农村社会文明程度。</w:t>
      </w:r>
    </w:p>
    <w:p>
      <w:pPr>
        <w:overflowPunct w:val="0"/>
        <w:ind w:firstLine="643"/>
        <w:outlineLvl w:val="2"/>
        <w:rPr>
          <w:rFonts w:ascii="楷体" w:hAnsi="楷体" w:eastAsia="楷体"/>
          <w:b w:val="0"/>
          <w:bCs/>
          <w:szCs w:val="24"/>
        </w:rPr>
      </w:pPr>
      <w:r>
        <w:rPr>
          <w:rFonts w:hint="eastAsia" w:ascii="楷体" w:hAnsi="楷体" w:eastAsia="楷体"/>
          <w:b w:val="0"/>
          <w:bCs/>
          <w:szCs w:val="24"/>
        </w:rPr>
        <w:t>（一）全面提升农民文明素养</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采取符合农村特点的方式方法，充分运用各类媒体、文艺作品、公益广告等宣传载体，深入开展中国梦“百姓宣讲”、“紫阳大讲堂”等活动。持续开展道德模范、文明家庭、美德少年、好公婆、好媳妇等评选表彰活动，推广“诚信红黑榜”“好人墙”和“事迹碑”，深入宣传道德模范、身边好人的典型事迹，让讲道德、尊道德、守道德成为农民群众自觉追求。加快新时代文明实践中心、文化宣传栏、道德讲堂、文化惠民演出等文化阵地建设，实施社会主义核心价值观普及工程，逐步形成良好的道德风尚和意志品质。</w:t>
      </w:r>
    </w:p>
    <w:p>
      <w:pPr>
        <w:overflowPunct w:val="0"/>
        <w:ind w:firstLine="643"/>
        <w:outlineLvl w:val="2"/>
        <w:rPr>
          <w:rFonts w:ascii="楷体" w:hAnsi="楷体" w:eastAsia="楷体"/>
          <w:b w:val="0"/>
          <w:bCs/>
          <w:szCs w:val="24"/>
        </w:rPr>
      </w:pPr>
      <w:r>
        <w:rPr>
          <w:rFonts w:hint="eastAsia" w:ascii="楷体" w:hAnsi="楷体" w:eastAsia="楷体"/>
          <w:b w:val="0"/>
          <w:bCs/>
          <w:szCs w:val="24"/>
        </w:rPr>
        <w:t>（二）深入开展文明村镇创建</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积极推进农村精神文明创建，广泛开展“美丽乡村·文明家园”、文明家庭、五好家庭、星级文明户和“寻找最美”系列活动。到2023年，县级、镇级以上文明村分别达到50%和90%以上，“星级文明诚信个体户”占比40%以上。扎实开展好家风、好家训评选推广活动，弘扬善行义举，培育与社会主义核心价值观相契合、与美丽乡村建设相适应的优良家风和文明乡风。大力推进移风易俗，实行婚事新办、丧事简办，加快公益性公墓建设，鼓励推行节地生态安葬方式，引导群众积极改陋习、树新风。</w:t>
      </w:r>
    </w:p>
    <w:p>
      <w:pPr>
        <w:overflowPunct w:val="0"/>
        <w:ind w:firstLine="643"/>
        <w:outlineLvl w:val="2"/>
        <w:rPr>
          <w:rFonts w:ascii="楷体" w:hAnsi="楷体" w:eastAsia="楷体"/>
          <w:b w:val="0"/>
          <w:bCs/>
          <w:szCs w:val="24"/>
        </w:rPr>
      </w:pPr>
      <w:r>
        <w:rPr>
          <w:rFonts w:hint="eastAsia" w:ascii="楷体" w:hAnsi="楷体" w:eastAsia="楷体"/>
          <w:b w:val="0"/>
          <w:bCs/>
          <w:szCs w:val="24"/>
        </w:rPr>
        <w:t>（三）加快推进诚信乡村建设</w:t>
      </w:r>
    </w:p>
    <w:p>
      <w:pPr>
        <w:ind w:firstLine="640"/>
        <w:rPr>
          <w:rFonts w:ascii="宋体" w:hAnsi="宋体" w:eastAsia="宋体"/>
          <w:b w:val="0"/>
          <w:bCs/>
          <w:szCs w:val="24"/>
        </w:rPr>
      </w:pPr>
      <w:r>
        <w:rPr>
          <w:rFonts w:hint="eastAsia" w:ascii="仿宋_GB2312" w:hAnsi="仿宋_GB2312" w:eastAsia="仿宋_GB2312" w:cs="仿宋_GB2312"/>
          <w:b w:val="0"/>
          <w:bCs/>
          <w:szCs w:val="24"/>
        </w:rPr>
        <w:t>积极开展诚信主题活动，加强诚信网络宣传和典型选树工作，推进社会公德、职业道德、家庭美德、个人品德建设，强化农民的社会责任意识、规则意识、集体意识和主人翁意识。加快构建公共信用信息共享平台，完善“诚信红黑榜”发布制度，落实信用联合激励惩戒制度，深入开展重点领域严重失信行为专项整治，引导形成诚信为本、操守为重的良好社会道德风尚。</w:t>
      </w:r>
    </w:p>
    <w:p>
      <w:pPr>
        <w:overflowPunct w:val="0"/>
        <w:spacing w:line="360" w:lineRule="auto"/>
        <w:ind w:firstLine="0" w:firstLineChars="0"/>
        <w:jc w:val="center"/>
        <w:rPr>
          <w:rFonts w:asciiTheme="minorHAnsi" w:hAnsiTheme="minorHAnsi" w:eastAsiaTheme="minorEastAsia"/>
          <w:b w:val="0"/>
          <w:bCs/>
          <w:sz w:val="21"/>
        </w:rPr>
      </w:pPr>
      <w:r>
        <w:rPr>
          <w:rFonts w:asciiTheme="minorHAnsi" w:hAnsiTheme="minorHAnsi" w:eastAsiaTheme="minorEastAsia"/>
          <w:b w:val="0"/>
          <w:bCs/>
          <w:sz w:val="21"/>
        </w:rPr>
        <w:drawing>
          <wp:inline distT="0" distB="0" distL="114300" distR="114300">
            <wp:extent cx="3009265" cy="215392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tretch>
                      <a:fillRect/>
                    </a:stretch>
                  </pic:blipFill>
                  <pic:spPr>
                    <a:xfrm>
                      <a:off x="0" y="0"/>
                      <a:ext cx="3009265" cy="2153920"/>
                    </a:xfrm>
                    <a:prstGeom prst="rect">
                      <a:avLst/>
                    </a:prstGeom>
                    <a:noFill/>
                    <a:ln>
                      <a:noFill/>
                    </a:ln>
                  </pic:spPr>
                </pic:pic>
              </a:graphicData>
            </a:graphic>
          </wp:inline>
        </w:drawing>
      </w:r>
    </w:p>
    <w:p>
      <w:pPr>
        <w:overflowPunct w:val="0"/>
        <w:spacing w:line="240" w:lineRule="auto"/>
        <w:ind w:firstLine="0" w:firstLineChars="0"/>
        <w:jc w:val="center"/>
        <w:rPr>
          <w:rFonts w:eastAsia="宋体" w:cs="Times New Roman"/>
          <w:b w:val="0"/>
          <w:bCs/>
          <w:w w:val="90"/>
          <w:sz w:val="24"/>
          <w:szCs w:val="24"/>
        </w:rPr>
      </w:pPr>
      <w:r>
        <w:rPr>
          <w:rFonts w:eastAsia="宋体" w:cs="Times New Roman"/>
          <w:b w:val="0"/>
          <w:bCs/>
          <w:w w:val="90"/>
          <w:sz w:val="24"/>
          <w:szCs w:val="24"/>
        </w:rPr>
        <w:t>图</w:t>
      </w:r>
      <w:r>
        <w:rPr>
          <w:rFonts w:hint="eastAsia" w:eastAsia="宋体" w:cs="Times New Roman"/>
          <w:b w:val="0"/>
          <w:bCs/>
          <w:w w:val="90"/>
          <w:sz w:val="24"/>
          <w:szCs w:val="24"/>
        </w:rPr>
        <w:t>7</w:t>
      </w:r>
      <w:r>
        <w:rPr>
          <w:rFonts w:eastAsia="宋体" w:cs="Times New Roman"/>
          <w:b w:val="0"/>
          <w:bCs/>
          <w:w w:val="90"/>
          <w:sz w:val="24"/>
          <w:szCs w:val="24"/>
        </w:rPr>
        <w:t>-1 乡村文明建设行动</w:t>
      </w:r>
    </w:p>
    <w:p>
      <w:pPr>
        <w:ind w:firstLine="640"/>
        <w:outlineLvl w:val="1"/>
        <w:rPr>
          <w:rFonts w:ascii="黑体" w:hAnsi="黑体" w:eastAsia="黑体"/>
          <w:b w:val="0"/>
          <w:bCs/>
        </w:rPr>
      </w:pPr>
      <w:bookmarkStart w:id="238" w:name="_Toc12688"/>
      <w:bookmarkStart w:id="239" w:name="_Toc21700"/>
      <w:bookmarkStart w:id="240" w:name="_Toc1550"/>
      <w:bookmarkStart w:id="241" w:name="_Toc32603"/>
      <w:r>
        <w:rPr>
          <w:rFonts w:hint="eastAsia" w:ascii="黑体" w:hAnsi="黑体" w:eastAsia="黑体"/>
          <w:b w:val="0"/>
          <w:bCs/>
        </w:rPr>
        <w:t>二、弘扬独具特色的紫阳文化</w:t>
      </w:r>
      <w:bookmarkEnd w:id="238"/>
      <w:bookmarkEnd w:id="239"/>
      <w:bookmarkEnd w:id="240"/>
      <w:bookmarkEnd w:id="241"/>
    </w:p>
    <w:p>
      <w:pPr>
        <w:ind w:firstLine="640"/>
        <w:rPr>
          <w:rFonts w:ascii="宋体" w:hAnsi="宋体" w:eastAsia="宋体"/>
          <w:b w:val="0"/>
          <w:bCs/>
          <w:szCs w:val="24"/>
        </w:rPr>
      </w:pPr>
      <w:r>
        <w:rPr>
          <w:rFonts w:hint="eastAsia" w:ascii="仿宋_GB2312" w:hAnsi="仿宋_GB2312" w:eastAsia="仿宋_GB2312" w:cs="仿宋_GB2312"/>
          <w:b w:val="0"/>
          <w:bCs/>
          <w:szCs w:val="24"/>
        </w:rPr>
        <w:t>充分发掘紫阳传统文化，创造性转化、创新性发展乡村传统文化，以优秀文化引领乡村振兴。</w:t>
      </w:r>
    </w:p>
    <w:p>
      <w:pPr>
        <w:overflowPunct w:val="0"/>
        <w:ind w:firstLine="643"/>
        <w:outlineLvl w:val="2"/>
        <w:rPr>
          <w:rFonts w:ascii="楷体" w:hAnsi="楷体" w:eastAsia="楷体"/>
          <w:b w:val="0"/>
          <w:bCs/>
          <w:szCs w:val="24"/>
        </w:rPr>
      </w:pPr>
      <w:r>
        <w:rPr>
          <w:rFonts w:hint="eastAsia" w:ascii="楷体" w:hAnsi="楷体" w:eastAsia="楷体"/>
          <w:b w:val="0"/>
          <w:bCs/>
          <w:szCs w:val="24"/>
        </w:rPr>
        <w:t>（一）保护和传承优秀传统文化</w:t>
      </w:r>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农耕文化传承保护工程，深入挖掘农耕文化中蕴含的优秀思想观念、人文精神、道德规范，充分发挥其在凝聚人心、教化群众、淳化民风中的重要作用。加强营梁村、焕古村等国家和省级的传统村落保护，积极做好省级历史文化名镇名村申报工作，分期分批建设“村史馆”，推动历史建筑、文物古迹、革命纪念地保护与利用。加强传统手工制作技艺、紫阳民歌等非物质文化遗产保护及其传承基地建设，培育一批农村非物质文化遗产传承人或民间艺人，推动一批非物质文化遗产入选国家、省级名录。实施乡村发展变迁物证征藏工程，积极争创物证征藏试点县、试点镇和试点村。加强对历史文化特别是村史的挖掘和发扬，鼓励编撰乡村史志。到2023年，全县60%以上行政村建成村史馆（室）。</w:t>
      </w:r>
    </w:p>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 xml:space="preserve">表7-1 </w:t>
      </w:r>
      <w:r>
        <w:rPr>
          <w:rFonts w:hint="eastAsia" w:ascii="宋体" w:hAnsi="宋体" w:eastAsia="宋体" w:cs="Times New Roman"/>
          <w:b w:val="0"/>
          <w:bCs/>
          <w:w w:val="90"/>
          <w:sz w:val="24"/>
          <w:szCs w:val="24"/>
        </w:rPr>
        <w:t>紫阳县</w:t>
      </w:r>
      <w:r>
        <w:rPr>
          <w:rFonts w:ascii="宋体" w:hAnsi="宋体" w:eastAsia="宋体" w:cs="Times New Roman"/>
          <w:b w:val="0"/>
          <w:bCs/>
          <w:w w:val="90"/>
          <w:sz w:val="24"/>
          <w:szCs w:val="24"/>
        </w:rPr>
        <w:t>历史文化名镇名村建设一览表</w:t>
      </w:r>
    </w:p>
    <w:tbl>
      <w:tblPr>
        <w:tblStyle w:val="1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384"/>
        <w:gridCol w:w="992"/>
        <w:gridCol w:w="4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552" w:type="dxa"/>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村镇名称</w:t>
            </w:r>
          </w:p>
        </w:tc>
        <w:tc>
          <w:tcPr>
            <w:tcW w:w="2376" w:type="dxa"/>
            <w:gridSpan w:val="2"/>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类别</w:t>
            </w:r>
          </w:p>
        </w:tc>
        <w:tc>
          <w:tcPr>
            <w:tcW w:w="4726" w:type="dxa"/>
            <w:shd w:val="clear" w:color="auto" w:fill="D8D8D8" w:themeFill="background1" w:themeFillShade="D9"/>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jc w:val="center"/>
        </w:trPr>
        <w:tc>
          <w:tcPr>
            <w:tcW w:w="15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向阳镇营梁村，焕古镇焕古村、东红村</w:t>
            </w:r>
          </w:p>
        </w:tc>
        <w:tc>
          <w:tcPr>
            <w:tcW w:w="1384"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国家级/省级传统村落</w:t>
            </w:r>
          </w:p>
        </w:tc>
        <w:tc>
          <w:tcPr>
            <w:tcW w:w="992"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已入选</w:t>
            </w:r>
          </w:p>
        </w:tc>
        <w:tc>
          <w:tcPr>
            <w:tcW w:w="4726" w:type="dxa"/>
            <w:vMerge w:val="restart"/>
            <w:vAlign w:val="center"/>
          </w:tcPr>
          <w:p>
            <w:pPr>
              <w:spacing w:line="240" w:lineRule="auto"/>
              <w:ind w:firstLine="0" w:firstLineChars="0"/>
              <w:rPr>
                <w:rFonts w:ascii="宋体" w:hAnsi="宋体" w:eastAsia="宋体" w:cs="Times New Roman"/>
                <w:b w:val="0"/>
                <w:bCs/>
                <w:w w:val="90"/>
                <w:sz w:val="24"/>
                <w:szCs w:val="24"/>
              </w:rPr>
            </w:pPr>
            <w:r>
              <w:rPr>
                <w:rFonts w:ascii="宋体" w:hAnsi="宋体" w:eastAsia="宋体" w:cs="Times New Roman"/>
                <w:b w:val="0"/>
                <w:bCs/>
                <w:w w:val="90"/>
                <w:sz w:val="24"/>
                <w:szCs w:val="24"/>
              </w:rPr>
              <w:t>重点保护村落整体的传统韵味与典型特征</w:t>
            </w:r>
            <w:r>
              <w:rPr>
                <w:rFonts w:hint="eastAsia" w:ascii="宋体" w:hAnsi="宋体" w:eastAsia="宋体" w:cs="Times New Roman"/>
                <w:b w:val="0"/>
                <w:bCs/>
                <w:w w:val="90"/>
                <w:sz w:val="24"/>
                <w:szCs w:val="24"/>
              </w:rPr>
              <w:t>，编制传统村落及历史文化名镇名村规划。</w:t>
            </w:r>
            <w:r>
              <w:rPr>
                <w:rFonts w:ascii="宋体" w:hAnsi="宋体" w:eastAsia="宋体" w:cs="Times New Roman"/>
                <w:b w:val="0"/>
                <w:bCs/>
                <w:w w:val="90"/>
                <w:sz w:val="24"/>
                <w:szCs w:val="24"/>
              </w:rPr>
              <w:t>明确历史村镇功能定位，将遗产保护与新型城镇化建设、扶贫开发建设、美丽乡村建设、观光农业、乡村休闲旅游等相结合，改善人居环境，优化产业结构，促进城乡发展。编制传统村落及历史文化名镇名村保护规划，整体保护村镇历史格局与风貌，保护周边特色自然乡土环境。划定核心保护范围与建设控制地带</w:t>
            </w:r>
            <w:r>
              <w:rPr>
                <w:rFonts w:hint="eastAsia" w:ascii="宋体" w:hAnsi="宋体" w:eastAsia="宋体" w:cs="Times New Roman"/>
                <w:b w:val="0"/>
                <w:bCs/>
                <w:w w:val="90"/>
                <w:sz w:val="24"/>
                <w:szCs w:val="24"/>
              </w:rPr>
              <w:t>：</w:t>
            </w:r>
            <w:r>
              <w:rPr>
                <w:rFonts w:ascii="宋体" w:hAnsi="宋体" w:eastAsia="宋体" w:cs="Times New Roman"/>
                <w:b w:val="0"/>
                <w:bCs/>
                <w:w w:val="90"/>
                <w:sz w:val="24"/>
                <w:szCs w:val="24"/>
              </w:rPr>
              <w:t>核心保护范围内，建筑按传统样式与结构进行修复</w:t>
            </w:r>
            <w:r>
              <w:rPr>
                <w:rFonts w:hint="eastAsia" w:ascii="宋体" w:hAnsi="宋体" w:eastAsia="宋体" w:cs="Times New Roman"/>
                <w:b w:val="0"/>
                <w:bCs/>
                <w:w w:val="90"/>
                <w:sz w:val="24"/>
                <w:szCs w:val="24"/>
              </w:rPr>
              <w:t>；</w:t>
            </w:r>
            <w:r>
              <w:rPr>
                <w:rFonts w:ascii="宋体" w:hAnsi="宋体" w:eastAsia="宋体" w:cs="Times New Roman"/>
                <w:b w:val="0"/>
                <w:bCs/>
                <w:w w:val="90"/>
                <w:sz w:val="24"/>
                <w:szCs w:val="24"/>
              </w:rPr>
              <w:t>建设控制地带内，严格控制新建建筑高度，建筑风格与历史风貌协调。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5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向阳镇</w:t>
            </w:r>
          </w:p>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营梁村</w:t>
            </w:r>
          </w:p>
        </w:tc>
        <w:tc>
          <w:tcPr>
            <w:tcW w:w="1384"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省级历史文化名镇</w:t>
            </w:r>
            <w:r>
              <w:rPr>
                <w:rFonts w:hint="eastAsia" w:ascii="宋体" w:hAnsi="宋体" w:eastAsia="宋体" w:cs="Times New Roman"/>
                <w:b w:val="0"/>
                <w:bCs/>
                <w:w w:val="90"/>
                <w:sz w:val="24"/>
                <w:szCs w:val="24"/>
              </w:rPr>
              <w:t>名村</w:t>
            </w:r>
          </w:p>
        </w:tc>
        <w:tc>
          <w:tcPr>
            <w:tcW w:w="992"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已入选</w:t>
            </w:r>
          </w:p>
        </w:tc>
        <w:tc>
          <w:tcPr>
            <w:tcW w:w="4726" w:type="dxa"/>
            <w:vMerge w:val="continue"/>
            <w:vAlign w:val="center"/>
          </w:tcPr>
          <w:p>
            <w:pPr>
              <w:spacing w:line="240" w:lineRule="auto"/>
              <w:ind w:firstLine="0" w:firstLineChars="0"/>
              <w:jc w:val="center"/>
              <w:rPr>
                <w:rFonts w:eastAsia="仿宋_GB2312" w:cs="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5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向阳镇</w:t>
            </w:r>
          </w:p>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焕古镇</w:t>
            </w:r>
          </w:p>
        </w:tc>
        <w:tc>
          <w:tcPr>
            <w:tcW w:w="1384"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省级历史文化名镇</w:t>
            </w:r>
            <w:r>
              <w:rPr>
                <w:rFonts w:hint="eastAsia" w:ascii="宋体" w:hAnsi="宋体" w:eastAsia="宋体" w:cs="Times New Roman"/>
                <w:b w:val="0"/>
                <w:bCs/>
                <w:w w:val="90"/>
                <w:sz w:val="24"/>
                <w:szCs w:val="24"/>
              </w:rPr>
              <w:t>名村</w:t>
            </w:r>
          </w:p>
        </w:tc>
        <w:tc>
          <w:tcPr>
            <w:tcW w:w="992" w:type="dxa"/>
            <w:shd w:val="clear" w:color="auto" w:fill="FFFFFF" w:themeFill="background1"/>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申报</w:t>
            </w:r>
          </w:p>
        </w:tc>
        <w:tc>
          <w:tcPr>
            <w:tcW w:w="4726" w:type="dxa"/>
            <w:vMerge w:val="continue"/>
            <w:vAlign w:val="center"/>
          </w:tcPr>
          <w:p>
            <w:pPr>
              <w:spacing w:line="240" w:lineRule="auto"/>
              <w:ind w:firstLine="0" w:firstLineChars="0"/>
              <w:jc w:val="center"/>
              <w:rPr>
                <w:rFonts w:eastAsia="仿宋_GB2312" w:cs="Times New Roman"/>
                <w:b w:val="0"/>
                <w:bCs/>
                <w:sz w:val="21"/>
                <w:szCs w:val="21"/>
              </w:rPr>
            </w:pPr>
          </w:p>
        </w:tc>
      </w:tr>
    </w:tbl>
    <w:p>
      <w:pPr>
        <w:spacing w:before="120" w:beforeLines="50" w:line="240" w:lineRule="auto"/>
        <w:ind w:firstLine="0" w:firstLineChars="0"/>
        <w:jc w:val="center"/>
        <w:rPr>
          <w:rFonts w:ascii="宋体" w:hAnsi="宋体" w:eastAsia="宋体" w:cs="Times New Roman"/>
          <w:b w:val="0"/>
          <w:bCs/>
          <w:w w:val="90"/>
          <w:sz w:val="24"/>
          <w:szCs w:val="24"/>
        </w:rPr>
      </w:pPr>
      <w:r>
        <w:rPr>
          <w:rFonts w:ascii="宋体" w:hAnsi="宋体" w:eastAsia="宋体" w:cs="Times New Roman"/>
          <w:b w:val="0"/>
          <w:bCs/>
          <w:w w:val="90"/>
          <w:sz w:val="24"/>
          <w:szCs w:val="24"/>
        </w:rPr>
        <w:t>表7-2</w:t>
      </w:r>
      <w:r>
        <w:rPr>
          <w:rFonts w:hint="eastAsia" w:ascii="宋体" w:hAnsi="宋体" w:eastAsia="宋体" w:cs="Times New Roman"/>
          <w:b w:val="0"/>
          <w:bCs/>
          <w:w w:val="90"/>
          <w:sz w:val="24"/>
          <w:szCs w:val="24"/>
        </w:rPr>
        <w:t xml:space="preserve"> 紫阳县非物质文化遗产保护</w:t>
      </w:r>
      <w:r>
        <w:rPr>
          <w:rFonts w:ascii="宋体" w:hAnsi="宋体" w:eastAsia="宋体" w:cs="Times New Roman"/>
          <w:b w:val="0"/>
          <w:bCs/>
          <w:w w:val="90"/>
          <w:sz w:val="24"/>
          <w:szCs w:val="24"/>
        </w:rPr>
        <w:t>一览表</w:t>
      </w:r>
    </w:p>
    <w:tbl>
      <w:tblPr>
        <w:tblStyle w:val="17"/>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835"/>
        <w:gridCol w:w="255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48"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级别</w:t>
            </w:r>
          </w:p>
        </w:tc>
        <w:tc>
          <w:tcPr>
            <w:tcW w:w="2835"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名称</w:t>
            </w:r>
          </w:p>
        </w:tc>
        <w:tc>
          <w:tcPr>
            <w:tcW w:w="2551"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传承人</w:t>
            </w:r>
          </w:p>
        </w:tc>
        <w:tc>
          <w:tcPr>
            <w:tcW w:w="1512"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拟申报级别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restart"/>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国家级</w:t>
            </w: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紫阳民歌</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李德堂、范德顺等</w:t>
            </w:r>
          </w:p>
        </w:tc>
        <w:tc>
          <w:tcPr>
            <w:tcW w:w="1512"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汉调二簧</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璩贻荣、王家明</w:t>
            </w:r>
          </w:p>
        </w:tc>
        <w:tc>
          <w:tcPr>
            <w:tcW w:w="1512"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省级</w:t>
            </w: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紫阳蒸盆子制作技艺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王小勇</w:t>
            </w:r>
          </w:p>
        </w:tc>
        <w:tc>
          <w:tcPr>
            <w:tcW w:w="1512"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restart"/>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市级</w:t>
            </w: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紫阳唢呐曲牌</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周章金、陈银山</w:t>
            </w:r>
          </w:p>
        </w:tc>
        <w:tc>
          <w:tcPr>
            <w:tcW w:w="1512" w:type="dxa"/>
            <w:vMerge w:val="restart"/>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宦姑与贡茶的传说</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c>
          <w:tcPr>
            <w:tcW w:w="1512"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紫阳布凉鞋编织技艺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王同春</w:t>
            </w:r>
          </w:p>
        </w:tc>
        <w:tc>
          <w:tcPr>
            <w:tcW w:w="1512"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擂鼓台庙会</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c>
          <w:tcPr>
            <w:tcW w:w="1512"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苦荞酒的酿造工艺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c>
          <w:tcPr>
            <w:tcW w:w="1512"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紫阳汉剧</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w:t>
            </w:r>
          </w:p>
        </w:tc>
        <w:tc>
          <w:tcPr>
            <w:tcW w:w="1512"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restart"/>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县级</w:t>
            </w: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紫阳毛尖传统手工制作技艺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陈富银、黄定凡等</w:t>
            </w:r>
          </w:p>
        </w:tc>
        <w:tc>
          <w:tcPr>
            <w:tcW w:w="1512" w:type="dxa"/>
            <w:vMerge w:val="restart"/>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紫阳板石雕刻</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黎成生、刘忠华等</w:t>
            </w:r>
          </w:p>
        </w:tc>
        <w:tc>
          <w:tcPr>
            <w:tcW w:w="1512" w:type="dxa"/>
            <w:vMerge w:val="continue"/>
            <w:vAlign w:val="center"/>
          </w:tcPr>
          <w:p>
            <w:pPr>
              <w:spacing w:line="240" w:lineRule="auto"/>
              <w:ind w:firstLine="0" w:firstLineChars="0"/>
              <w:jc w:val="left"/>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紫阳民间剪纸</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熊满朝、陈家强</w:t>
            </w:r>
          </w:p>
        </w:tc>
        <w:tc>
          <w:tcPr>
            <w:tcW w:w="1512" w:type="dxa"/>
            <w:vMerge w:val="continue"/>
            <w:vAlign w:val="center"/>
          </w:tcPr>
          <w:p>
            <w:pPr>
              <w:spacing w:line="240" w:lineRule="auto"/>
              <w:ind w:firstLine="0" w:firstLineChars="0"/>
              <w:jc w:val="left"/>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紫阳修土墙房子传统技艺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余德贵、王武明</w:t>
            </w:r>
          </w:p>
        </w:tc>
        <w:tc>
          <w:tcPr>
            <w:tcW w:w="1512" w:type="dxa"/>
            <w:vMerge w:val="continue"/>
            <w:vAlign w:val="center"/>
          </w:tcPr>
          <w:p>
            <w:pPr>
              <w:spacing w:line="240" w:lineRule="auto"/>
              <w:ind w:firstLine="0" w:firstLineChars="0"/>
              <w:jc w:val="left"/>
              <w:rPr>
                <w:rFonts w:ascii="宋体" w:hAnsi="宋体" w:eastAsia="宋体" w:cs="Times New Roman"/>
                <w:b w:val="0"/>
                <w:bCs/>
                <w:w w:val="9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Merge w:val="continue"/>
            <w:vAlign w:val="center"/>
          </w:tcPr>
          <w:p>
            <w:pPr>
              <w:spacing w:line="240" w:lineRule="auto"/>
              <w:ind w:firstLine="0" w:firstLineChars="0"/>
              <w:jc w:val="center"/>
              <w:rPr>
                <w:rFonts w:ascii="宋体" w:hAnsi="宋体" w:eastAsia="宋体" w:cs="Times New Roman"/>
                <w:b w:val="0"/>
                <w:bCs/>
                <w:w w:val="90"/>
                <w:sz w:val="24"/>
                <w:szCs w:val="24"/>
              </w:rPr>
            </w:pPr>
          </w:p>
        </w:tc>
        <w:tc>
          <w:tcPr>
            <w:tcW w:w="2835"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紫阳魔芋豆腐制作技艺</w:t>
            </w:r>
          </w:p>
        </w:tc>
        <w:tc>
          <w:tcPr>
            <w:tcW w:w="2551" w:type="dxa"/>
            <w:vAlign w:val="center"/>
          </w:tcPr>
          <w:p>
            <w:pPr>
              <w:spacing w:line="240" w:lineRule="auto"/>
              <w:ind w:firstLine="0" w:firstLineChars="0"/>
              <w:jc w:val="center"/>
              <w:rPr>
                <w:rFonts w:ascii="宋体" w:hAnsi="宋体" w:eastAsia="宋体" w:cs="Times New Roman"/>
                <w:b w:val="0"/>
                <w:bCs/>
                <w:w w:val="90"/>
                <w:sz w:val="24"/>
                <w:szCs w:val="24"/>
              </w:rPr>
            </w:pPr>
            <w:r>
              <w:rPr>
                <w:rFonts w:hint="eastAsia" w:ascii="宋体" w:hAnsi="宋体" w:eastAsia="宋体" w:cs="Times New Roman"/>
                <w:b w:val="0"/>
                <w:bCs/>
                <w:w w:val="90"/>
                <w:sz w:val="24"/>
                <w:szCs w:val="24"/>
              </w:rPr>
              <w:t>常继石</w:t>
            </w:r>
          </w:p>
        </w:tc>
        <w:tc>
          <w:tcPr>
            <w:tcW w:w="1512" w:type="dxa"/>
            <w:vMerge w:val="continue"/>
            <w:vAlign w:val="center"/>
          </w:tcPr>
          <w:p>
            <w:pPr>
              <w:spacing w:line="240" w:lineRule="auto"/>
              <w:ind w:firstLine="0" w:firstLineChars="0"/>
              <w:jc w:val="left"/>
              <w:rPr>
                <w:rFonts w:ascii="宋体" w:hAnsi="宋体" w:eastAsia="宋体" w:cs="Times New Roman"/>
                <w:b w:val="0"/>
                <w:bCs/>
                <w:w w:val="90"/>
                <w:sz w:val="24"/>
                <w:szCs w:val="24"/>
              </w:rPr>
            </w:pPr>
          </w:p>
        </w:tc>
      </w:tr>
    </w:tbl>
    <w:p>
      <w:pPr>
        <w:overflowPunct w:val="0"/>
        <w:ind w:firstLine="643"/>
        <w:outlineLvl w:val="2"/>
        <w:rPr>
          <w:rFonts w:ascii="楷体" w:hAnsi="楷体" w:eastAsia="楷体"/>
          <w:b w:val="0"/>
          <w:bCs/>
          <w:szCs w:val="24"/>
        </w:rPr>
      </w:pPr>
      <w:r>
        <w:rPr>
          <w:rFonts w:hint="eastAsia" w:ascii="楷体" w:hAnsi="楷体" w:eastAsia="楷体"/>
          <w:b w:val="0"/>
          <w:bCs/>
          <w:szCs w:val="24"/>
        </w:rPr>
        <w:t>（二）挖掘紫阳特色文化</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抓住紫阳入选“中国民间文化艺术之乡”的有利契机，深入挖掘紫阳县厚重的茶文化与民歌文化资源，依托紫阳民歌主题比赛、“春之茶”文化旅游等系列活动，以紫阳毛尖制作工艺、民歌传承等为重点，通过“茶文化+旅游”“茶文化+农特产品”等模式，用通俗易懂的方式传承茶文化与民歌文化，展现“汉江画廊•茶歌紫阳”的无限魅力。深入挖掘传承发展以以陕南小武当擂鼓台为代表的道文化，以瓦房店会馆群为代表的会馆文化，以紫阳蒸盆子、三转弯宴席、民间小吃为代表的饮食文化，以皮影戏、民间社火等为代表的民俗文化，以瓦板岩建材及其雕刻工艺为代表的板石文化，以芭蕉口显钟沟口志留系古生物化石为代表的弓笔石文化，加大宣传推介力度，创新方式方法，以文化助力乡村全面振兴。开展“我们的节日”主题活动，丰富春节、元宵、清明、端午、中秋、重阳等全国性传统节日的文化内涵，积极引导优秀特色民族文化融入基层学校、人民群众的思想教育、文化教育之中。</w:t>
      </w:r>
    </w:p>
    <w:p>
      <w:pPr>
        <w:overflowPunct w:val="0"/>
        <w:ind w:firstLine="643"/>
        <w:outlineLvl w:val="2"/>
        <w:rPr>
          <w:rFonts w:ascii="楷体" w:hAnsi="楷体" w:eastAsia="楷体"/>
          <w:b w:val="0"/>
          <w:bCs/>
          <w:szCs w:val="24"/>
        </w:rPr>
      </w:pPr>
      <w:r>
        <w:rPr>
          <w:rFonts w:hint="eastAsia" w:ascii="楷体" w:hAnsi="楷体" w:eastAsia="楷体"/>
          <w:b w:val="0"/>
          <w:bCs/>
          <w:szCs w:val="24"/>
        </w:rPr>
        <w:t>（三）传承弘扬红色基因</w:t>
      </w:r>
    </w:p>
    <w:p>
      <w:pPr>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充分发挥红色文化印证历史、传承文明、激励精神、推动发展的重要作用，切实加强红色文化的挖掘、保护和利用。新建芭蕉口地委机关纪念馆、五马乡农会纪念馆及西北红色文化广场、莲花寨抗日义勇军纪念亭等工程，打造红色文化旅游线路。支持全县爱国主义教育基地开展传承红色基因主题教育活动。组织全县文艺工作者深入农村一线，策划创作一批红色文艺作品。围绕清明、七一、八一、国庆等时间节点，组织开展红色文化专题宣传，引导广大党员干部群众传承和弘扬红色文化。</w:t>
      </w:r>
    </w:p>
    <w:p>
      <w:pPr>
        <w:overflowPunct w:val="0"/>
        <w:ind w:firstLine="643"/>
        <w:outlineLvl w:val="2"/>
        <w:rPr>
          <w:rFonts w:ascii="楷体" w:hAnsi="楷体" w:eastAsia="楷体"/>
          <w:b w:val="0"/>
          <w:bCs/>
          <w:szCs w:val="24"/>
        </w:rPr>
      </w:pPr>
      <w:r>
        <w:rPr>
          <w:rFonts w:hint="eastAsia" w:ascii="楷体" w:hAnsi="楷体" w:eastAsia="楷体"/>
          <w:b w:val="0"/>
          <w:bCs/>
          <w:szCs w:val="24"/>
        </w:rPr>
        <w:t>（四）发展乡村特色文化产业</w:t>
      </w:r>
    </w:p>
    <w:p>
      <w:pPr>
        <w:ind w:firstLine="640"/>
        <w:rPr>
          <w:rFonts w:eastAsia="宋体"/>
          <w:b w:val="0"/>
          <w:bCs/>
          <w:szCs w:val="32"/>
        </w:rPr>
      </w:pPr>
      <w:r>
        <w:rPr>
          <w:rFonts w:hint="eastAsia" w:ascii="仿宋_GB2312" w:hAnsi="仿宋_GB2312" w:eastAsia="仿宋_GB2312" w:cs="仿宋_GB2312"/>
          <w:b w:val="0"/>
          <w:bCs/>
          <w:szCs w:val="32"/>
        </w:rPr>
        <w:t>充分发挥历史文化、民俗文化等文化资源优势，大力发展乡村文化产业。实施传统工艺振兴计划，积极开发乡村特色文创产品。依托五省会馆、东城门、擂鼓台、真人宫等历史文化资源，规划历史文化旅游线路；整合紫阳民间特色歌舞剧目，打造一条特色文化商业街区；建设一条美食街区，对紫阳蒸盆子、酸菜面、腊肉、魔芋豆腐等特色美食进行集中推介，培育形成具有核心竞争力的特色文化产业、产品和品牌。</w:t>
      </w:r>
    </w:p>
    <w:p>
      <w:pPr>
        <w:spacing w:line="360" w:lineRule="auto"/>
        <w:ind w:firstLine="480"/>
        <w:rPr>
          <w:rFonts w:ascii="宋体" w:hAnsi="宋体" w:eastAsiaTheme="minorEastAsia"/>
          <w:b w:val="0"/>
          <w:bCs/>
          <w:sz w:val="24"/>
          <w:szCs w:val="24"/>
        </w:rPr>
      </w:pPr>
    </w:p>
    <w:p>
      <w:pPr>
        <w:overflowPunct w:val="0"/>
        <w:spacing w:line="360" w:lineRule="auto"/>
        <w:ind w:firstLine="0" w:firstLineChars="0"/>
        <w:rPr>
          <w:rFonts w:asciiTheme="minorHAnsi" w:hAnsiTheme="minorHAnsi" w:eastAsiaTheme="minorEastAsia"/>
          <w:b w:val="0"/>
          <w:bCs/>
          <w:sz w:val="21"/>
        </w:rPr>
      </w:pPr>
      <w:r>
        <w:rPr>
          <w:rFonts w:asciiTheme="minorHAnsi" w:hAnsiTheme="minorHAnsi" w:eastAsiaTheme="minorEastAsia"/>
          <w:b w:val="0"/>
          <w:bCs/>
          <w:sz w:val="21"/>
        </w:rPr>
        <mc:AlternateContent>
          <mc:Choice Requires="wpg">
            <w:drawing>
              <wp:inline distT="0" distB="0" distL="114300" distR="114300">
                <wp:extent cx="5020310" cy="2258060"/>
                <wp:effectExtent l="0" t="0" r="0" b="8890"/>
                <wp:docPr id="21" name="组合 21" descr="KSO_WM_TAG_VERSION=1.0&amp;KSO_WM_BEAUTIFY_FLAG=#wm#&amp;KSO_WM_UNIT_TYPE=i&amp;KSO_WM_UNIT_ID=wpsdiag20163450_3*i*1&amp;KSO_WM_TEMPLATE_CATEGORY=wpsdiag&amp;KSO_WM_TEMPLATE_INDEX=20163450"/>
                <wp:cNvGraphicFramePr/>
                <a:graphic xmlns:a="http://schemas.openxmlformats.org/drawingml/2006/main">
                  <a:graphicData uri="http://schemas.microsoft.com/office/word/2010/wordprocessingGroup">
                    <wpg:wgp>
                      <wpg:cNvGrpSpPr/>
                      <wpg:grpSpPr>
                        <a:xfrm>
                          <a:off x="0" y="0"/>
                          <a:ext cx="5020310" cy="2257917"/>
                          <a:chOff x="0" y="63427"/>
                          <a:chExt cx="5617125" cy="2526705"/>
                        </a:xfrm>
                      </wpg:grpSpPr>
                      <wpg:grpSp>
                        <wpg:cNvPr id="22" name="组合 23"/>
                        <wpg:cNvGrpSpPr/>
                        <wpg:grpSpPr>
                          <a:xfrm>
                            <a:off x="1543380" y="63427"/>
                            <a:ext cx="2527132" cy="2526705"/>
                            <a:chOff x="1390002" y="0"/>
                            <a:chExt cx="3995833" cy="3995833"/>
                          </a:xfrm>
                        </wpg:grpSpPr>
                        <wps:wsp>
                          <wps:cNvPr id="23" name="任意多边形 2" descr="KSO_WM_UNIT_INDEX=1_1&amp;KSO_WM_UNIT_TYPE=q_i&amp;KSO_WM_UNIT_ID=wpsdiag20163450_3*q_i*1_1&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6&amp;KSO_WM_UNIT_FILL_BACK_SCHEMECOLOR_INDEX=0"/>
                          <wps:cNvSpPr/>
                          <wps:spPr>
                            <a:xfrm rot="-5400000">
                              <a:off x="1238239" y="952500"/>
                              <a:ext cx="2394360" cy="2090833"/>
                            </a:xfrm>
                            <a:custGeom>
                              <a:avLst/>
                              <a:gdLst>
                                <a:gd name="connsiteX0" fmla="*/ 1206996 w 2486823"/>
                                <a:gd name="connsiteY0" fmla="*/ 0 h 1280135"/>
                                <a:gd name="connsiteX1" fmla="*/ 2486417 w 2486823"/>
                                <a:gd name="connsiteY1" fmla="*/ 1111797 h 1280135"/>
                                <a:gd name="connsiteX2" fmla="*/ 2459814 w 2486823"/>
                                <a:gd name="connsiteY2" fmla="*/ 1280135 h 1280135"/>
                                <a:gd name="connsiteX3" fmla="*/ 2405164 w 2486823"/>
                                <a:gd name="connsiteY3" fmla="*/ 1169501 h 1280135"/>
                                <a:gd name="connsiteX4" fmla="*/ 878798 w 2486823"/>
                                <a:gd name="connsiteY4" fmla="*/ 338508 h 1280135"/>
                                <a:gd name="connsiteX5" fmla="*/ 254502 w 2486823"/>
                                <a:gd name="connsiteY5" fmla="*/ 296845 h 1280135"/>
                                <a:gd name="connsiteX6" fmla="*/ 0 w 2486823"/>
                                <a:gd name="connsiteY6" fmla="*/ 305015 h 1280135"/>
                                <a:gd name="connsiteX7" fmla="*/ 297297 w 2486823"/>
                                <a:gd name="connsiteY7" fmla="*/ 220898 h 1280135"/>
                                <a:gd name="connsiteX8" fmla="*/ 1206996 w 2486823"/>
                                <a:gd name="connsiteY8" fmla="*/ 0 h 128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6823" h="1280135">
                                  <a:moveTo>
                                    <a:pt x="1206996" y="0"/>
                                  </a:moveTo>
                                  <a:cubicBezTo>
                                    <a:pt x="1898026" y="0"/>
                                    <a:pt x="2420888" y="451858"/>
                                    <a:pt x="2486417" y="1111797"/>
                                  </a:cubicBezTo>
                                  <a:cubicBezTo>
                                    <a:pt x="2487908" y="1161802"/>
                                    <a:pt x="2486577" y="1216805"/>
                                    <a:pt x="2459814" y="1280135"/>
                                  </a:cubicBezTo>
                                  <a:lnTo>
                                    <a:pt x="2405164" y="1169501"/>
                                  </a:lnTo>
                                  <a:cubicBezTo>
                                    <a:pt x="2076007" y="662783"/>
                                    <a:pt x="1260725" y="399887"/>
                                    <a:pt x="878798" y="338508"/>
                                  </a:cubicBezTo>
                                  <a:cubicBezTo>
                                    <a:pt x="802897" y="326310"/>
                                    <a:pt x="571188" y="300113"/>
                                    <a:pt x="254502" y="296845"/>
                                  </a:cubicBezTo>
                                  <a:lnTo>
                                    <a:pt x="0" y="305015"/>
                                  </a:lnTo>
                                  <a:cubicBezTo>
                                    <a:pt x="72728" y="286414"/>
                                    <a:pt x="168060" y="257821"/>
                                    <a:pt x="297297" y="220898"/>
                                  </a:cubicBezTo>
                                  <a:cubicBezTo>
                                    <a:pt x="466187" y="148325"/>
                                    <a:pt x="794998" y="3332"/>
                                    <a:pt x="1206996" y="0"/>
                                  </a:cubicBezTo>
                                  <a:close/>
                                </a:path>
                              </a:pathLst>
                            </a:custGeom>
                            <a:solidFill>
                              <a:schemeClr val="accent6">
                                <a:lumMod val="60000"/>
                                <a:lumOff val="40000"/>
                              </a:schemeClr>
                            </a:solidFill>
                            <a:ln w="12700" cap="flat" cmpd="sng" algn="ctr">
                              <a:noFill/>
                              <a:prstDash val="solid"/>
                              <a:miter lim="800000"/>
                            </a:ln>
                            <a:effectLst/>
                          </wps:spPr>
                          <wps:bodyPr rtlCol="0" anchor="ctr"/>
                        </wps:wsp>
                        <wps:wsp>
                          <wps:cNvPr id="24" name="任意多边形 3" descr="KSO_WM_UNIT_INDEX=1_2&amp;KSO_WM_UNIT_TYPE=q_i&amp;KSO_WM_UNIT_ID=wpsdiag20163450_3*q_i*1_2&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5&amp;KSO_WM_UNIT_FILL_BACK_SCHEMECOLOR_INDEX=0"/>
                          <wps:cNvSpPr/>
                          <wps:spPr>
                            <a:xfrm>
                              <a:off x="2190739" y="0"/>
                              <a:ext cx="2394360" cy="2090833"/>
                            </a:xfrm>
                            <a:custGeom>
                              <a:avLst/>
                              <a:gdLst>
                                <a:gd name="connsiteX0" fmla="*/ 1206996 w 2486823"/>
                                <a:gd name="connsiteY0" fmla="*/ 0 h 1280135"/>
                                <a:gd name="connsiteX1" fmla="*/ 2486417 w 2486823"/>
                                <a:gd name="connsiteY1" fmla="*/ 1111797 h 1280135"/>
                                <a:gd name="connsiteX2" fmla="*/ 2459814 w 2486823"/>
                                <a:gd name="connsiteY2" fmla="*/ 1280135 h 1280135"/>
                                <a:gd name="connsiteX3" fmla="*/ 2405164 w 2486823"/>
                                <a:gd name="connsiteY3" fmla="*/ 1169501 h 1280135"/>
                                <a:gd name="connsiteX4" fmla="*/ 878798 w 2486823"/>
                                <a:gd name="connsiteY4" fmla="*/ 338508 h 1280135"/>
                                <a:gd name="connsiteX5" fmla="*/ 254502 w 2486823"/>
                                <a:gd name="connsiteY5" fmla="*/ 296845 h 1280135"/>
                                <a:gd name="connsiteX6" fmla="*/ 0 w 2486823"/>
                                <a:gd name="connsiteY6" fmla="*/ 305015 h 1280135"/>
                                <a:gd name="connsiteX7" fmla="*/ 297297 w 2486823"/>
                                <a:gd name="connsiteY7" fmla="*/ 220898 h 1280135"/>
                                <a:gd name="connsiteX8" fmla="*/ 1206996 w 2486823"/>
                                <a:gd name="connsiteY8" fmla="*/ 0 h 128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6823" h="1280135">
                                  <a:moveTo>
                                    <a:pt x="1206996" y="0"/>
                                  </a:moveTo>
                                  <a:cubicBezTo>
                                    <a:pt x="1898026" y="0"/>
                                    <a:pt x="2420888" y="451858"/>
                                    <a:pt x="2486417" y="1111797"/>
                                  </a:cubicBezTo>
                                  <a:cubicBezTo>
                                    <a:pt x="2487908" y="1161802"/>
                                    <a:pt x="2486577" y="1216805"/>
                                    <a:pt x="2459814" y="1280135"/>
                                  </a:cubicBezTo>
                                  <a:lnTo>
                                    <a:pt x="2405164" y="1169501"/>
                                  </a:lnTo>
                                  <a:cubicBezTo>
                                    <a:pt x="2076007" y="662783"/>
                                    <a:pt x="1260725" y="399887"/>
                                    <a:pt x="878798" y="338508"/>
                                  </a:cubicBezTo>
                                  <a:cubicBezTo>
                                    <a:pt x="802897" y="326310"/>
                                    <a:pt x="571188" y="300113"/>
                                    <a:pt x="254502" y="296845"/>
                                  </a:cubicBezTo>
                                  <a:lnTo>
                                    <a:pt x="0" y="305015"/>
                                  </a:lnTo>
                                  <a:cubicBezTo>
                                    <a:pt x="72728" y="286414"/>
                                    <a:pt x="168060" y="257821"/>
                                    <a:pt x="297297" y="220898"/>
                                  </a:cubicBezTo>
                                  <a:cubicBezTo>
                                    <a:pt x="466187" y="148325"/>
                                    <a:pt x="794998" y="3332"/>
                                    <a:pt x="1206996" y="0"/>
                                  </a:cubicBezTo>
                                  <a:close/>
                                </a:path>
                              </a:pathLst>
                            </a:custGeom>
                            <a:solidFill>
                              <a:schemeClr val="accent5">
                                <a:lumMod val="40000"/>
                                <a:lumOff val="60000"/>
                              </a:schemeClr>
                            </a:solidFill>
                            <a:ln w="12700" cap="flat" cmpd="sng" algn="ctr">
                              <a:noFill/>
                              <a:prstDash val="solid"/>
                              <a:miter lim="800000"/>
                            </a:ln>
                            <a:effectLst/>
                          </wps:spPr>
                          <wps:bodyPr rtlCol="0" anchor="ctr"/>
                        </wps:wsp>
                        <wps:wsp>
                          <wps:cNvPr id="26" name="任意多边形 4" descr="KSO_WM_UNIT_INDEX=1_3&amp;KSO_WM_UNIT_TYPE=q_i&amp;KSO_WM_UNIT_ID=wpsdiag20163450_3*q_i*1_3&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7&amp;KSO_WM_UNIT_FILL_BACK_SCHEMECOLOR_INDEX=0"/>
                          <wps:cNvSpPr/>
                          <wps:spPr>
                            <a:xfrm rot="5400000">
                              <a:off x="3143239" y="952500"/>
                              <a:ext cx="2394360" cy="2090833"/>
                            </a:xfrm>
                            <a:custGeom>
                              <a:avLst/>
                              <a:gdLst>
                                <a:gd name="connsiteX0" fmla="*/ 1206996 w 2486823"/>
                                <a:gd name="connsiteY0" fmla="*/ 0 h 1280135"/>
                                <a:gd name="connsiteX1" fmla="*/ 2486417 w 2486823"/>
                                <a:gd name="connsiteY1" fmla="*/ 1111797 h 1280135"/>
                                <a:gd name="connsiteX2" fmla="*/ 2459814 w 2486823"/>
                                <a:gd name="connsiteY2" fmla="*/ 1280135 h 1280135"/>
                                <a:gd name="connsiteX3" fmla="*/ 2405164 w 2486823"/>
                                <a:gd name="connsiteY3" fmla="*/ 1169501 h 1280135"/>
                                <a:gd name="connsiteX4" fmla="*/ 878798 w 2486823"/>
                                <a:gd name="connsiteY4" fmla="*/ 338508 h 1280135"/>
                                <a:gd name="connsiteX5" fmla="*/ 254502 w 2486823"/>
                                <a:gd name="connsiteY5" fmla="*/ 296845 h 1280135"/>
                                <a:gd name="connsiteX6" fmla="*/ 0 w 2486823"/>
                                <a:gd name="connsiteY6" fmla="*/ 305015 h 1280135"/>
                                <a:gd name="connsiteX7" fmla="*/ 297297 w 2486823"/>
                                <a:gd name="connsiteY7" fmla="*/ 220898 h 1280135"/>
                                <a:gd name="connsiteX8" fmla="*/ 1206996 w 2486823"/>
                                <a:gd name="connsiteY8" fmla="*/ 0 h 128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6823" h="1280135">
                                  <a:moveTo>
                                    <a:pt x="1206996" y="0"/>
                                  </a:moveTo>
                                  <a:cubicBezTo>
                                    <a:pt x="1898026" y="0"/>
                                    <a:pt x="2420888" y="451858"/>
                                    <a:pt x="2486417" y="1111797"/>
                                  </a:cubicBezTo>
                                  <a:cubicBezTo>
                                    <a:pt x="2487908" y="1161802"/>
                                    <a:pt x="2486577" y="1216805"/>
                                    <a:pt x="2459814" y="1280135"/>
                                  </a:cubicBezTo>
                                  <a:lnTo>
                                    <a:pt x="2405164" y="1169501"/>
                                  </a:lnTo>
                                  <a:cubicBezTo>
                                    <a:pt x="2076007" y="662783"/>
                                    <a:pt x="1260725" y="399887"/>
                                    <a:pt x="878798" y="338508"/>
                                  </a:cubicBezTo>
                                  <a:cubicBezTo>
                                    <a:pt x="802897" y="326310"/>
                                    <a:pt x="571188" y="300113"/>
                                    <a:pt x="254502" y="296845"/>
                                  </a:cubicBezTo>
                                  <a:lnTo>
                                    <a:pt x="0" y="305015"/>
                                  </a:lnTo>
                                  <a:cubicBezTo>
                                    <a:pt x="72728" y="286414"/>
                                    <a:pt x="168060" y="257821"/>
                                    <a:pt x="297297" y="220898"/>
                                  </a:cubicBezTo>
                                  <a:cubicBezTo>
                                    <a:pt x="466187" y="148325"/>
                                    <a:pt x="794998" y="3332"/>
                                    <a:pt x="1206996" y="0"/>
                                  </a:cubicBezTo>
                                  <a:close/>
                                </a:path>
                              </a:pathLst>
                            </a:custGeom>
                            <a:solidFill>
                              <a:schemeClr val="accent2">
                                <a:lumMod val="75000"/>
                              </a:schemeClr>
                            </a:solidFill>
                            <a:ln w="12700" cap="flat" cmpd="sng" algn="ctr">
                              <a:noFill/>
                              <a:prstDash val="solid"/>
                              <a:miter lim="800000"/>
                            </a:ln>
                            <a:effectLst/>
                          </wps:spPr>
                          <wps:bodyPr rtlCol="0" anchor="ctr"/>
                        </wps:wsp>
                        <wps:wsp>
                          <wps:cNvPr id="27" name="任意多边形 5" descr="KSO_WM_UNIT_INDEX=1_4&amp;KSO_WM_UNIT_TYPE=q_i&amp;KSO_WM_UNIT_ID=wpsdiag20163450_3*q_i*1_4&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5&amp;KSO_WM_UNIT_FILL_BACK_SCHEMECOLOR_INDEX=0"/>
                          <wps:cNvSpPr/>
                          <wps:spPr>
                            <a:xfrm rot="10800000">
                              <a:off x="2190739" y="1905000"/>
                              <a:ext cx="2394360" cy="2090833"/>
                            </a:xfrm>
                            <a:custGeom>
                              <a:avLst/>
                              <a:gdLst>
                                <a:gd name="connsiteX0" fmla="*/ 1206996 w 2486823"/>
                                <a:gd name="connsiteY0" fmla="*/ 0 h 1280135"/>
                                <a:gd name="connsiteX1" fmla="*/ 2486417 w 2486823"/>
                                <a:gd name="connsiteY1" fmla="*/ 1111797 h 1280135"/>
                                <a:gd name="connsiteX2" fmla="*/ 2459814 w 2486823"/>
                                <a:gd name="connsiteY2" fmla="*/ 1280135 h 1280135"/>
                                <a:gd name="connsiteX3" fmla="*/ 2405164 w 2486823"/>
                                <a:gd name="connsiteY3" fmla="*/ 1169501 h 1280135"/>
                                <a:gd name="connsiteX4" fmla="*/ 878798 w 2486823"/>
                                <a:gd name="connsiteY4" fmla="*/ 338508 h 1280135"/>
                                <a:gd name="connsiteX5" fmla="*/ 254502 w 2486823"/>
                                <a:gd name="connsiteY5" fmla="*/ 296845 h 1280135"/>
                                <a:gd name="connsiteX6" fmla="*/ 0 w 2486823"/>
                                <a:gd name="connsiteY6" fmla="*/ 305015 h 1280135"/>
                                <a:gd name="connsiteX7" fmla="*/ 297297 w 2486823"/>
                                <a:gd name="connsiteY7" fmla="*/ 220898 h 1280135"/>
                                <a:gd name="connsiteX8" fmla="*/ 1206996 w 2486823"/>
                                <a:gd name="connsiteY8" fmla="*/ 0 h 128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6823" h="1280135">
                                  <a:moveTo>
                                    <a:pt x="1206996" y="0"/>
                                  </a:moveTo>
                                  <a:cubicBezTo>
                                    <a:pt x="1898026" y="0"/>
                                    <a:pt x="2420888" y="451858"/>
                                    <a:pt x="2486417" y="1111797"/>
                                  </a:cubicBezTo>
                                  <a:cubicBezTo>
                                    <a:pt x="2487908" y="1161802"/>
                                    <a:pt x="2486577" y="1216805"/>
                                    <a:pt x="2459814" y="1280135"/>
                                  </a:cubicBezTo>
                                  <a:lnTo>
                                    <a:pt x="2405164" y="1169501"/>
                                  </a:lnTo>
                                  <a:cubicBezTo>
                                    <a:pt x="2076007" y="662783"/>
                                    <a:pt x="1260725" y="399887"/>
                                    <a:pt x="878798" y="338508"/>
                                  </a:cubicBezTo>
                                  <a:cubicBezTo>
                                    <a:pt x="802897" y="326310"/>
                                    <a:pt x="571188" y="300113"/>
                                    <a:pt x="254502" y="296845"/>
                                  </a:cubicBezTo>
                                  <a:lnTo>
                                    <a:pt x="0" y="305015"/>
                                  </a:lnTo>
                                  <a:cubicBezTo>
                                    <a:pt x="72728" y="286414"/>
                                    <a:pt x="168060" y="257821"/>
                                    <a:pt x="297297" y="220898"/>
                                  </a:cubicBezTo>
                                  <a:cubicBezTo>
                                    <a:pt x="466187" y="148325"/>
                                    <a:pt x="794998" y="3332"/>
                                    <a:pt x="1206996" y="0"/>
                                  </a:cubicBezTo>
                                  <a:close/>
                                </a:path>
                              </a:pathLst>
                            </a:custGeom>
                            <a:solidFill>
                              <a:schemeClr val="accent1">
                                <a:lumMod val="75000"/>
                              </a:schemeClr>
                            </a:solidFill>
                            <a:ln w="12700" cap="flat" cmpd="sng" algn="ctr">
                              <a:noFill/>
                              <a:prstDash val="solid"/>
                              <a:miter lim="800000"/>
                            </a:ln>
                            <a:effectLst/>
                          </wps:spPr>
                          <wps:bodyPr rtlCol="0" anchor="ctr"/>
                        </wps:wsp>
                      </wpg:grpSp>
                      <wps:wsp>
                        <wps:cNvPr id="31" name="矩形 28" descr="KSO_WM_UNIT_INDEX=1_5&amp;KSO_WM_UNIT_TYPE=q_i&amp;KSO_WM_UNIT_ID=wpsdiag20163450_3*q_i*1_5&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wps:cNvSpPr/>
                        <wps:spPr>
                          <a:xfrm>
                            <a:off x="2653346" y="126854"/>
                            <a:ext cx="303719" cy="319817"/>
                          </a:xfrm>
                          <a:prstGeom prst="rect">
                            <a:avLst/>
                          </a:prstGeom>
                          <a:noFill/>
                        </wps:spPr>
                        <wps:txbx>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01</w:t>
                              </w:r>
                            </w:p>
                          </w:txbxContent>
                        </wps:txbx>
                        <wps:bodyPr rot="0" spcFirstLastPara="0" vert="horz" wrap="square" lIns="19462" tIns="9731" rIns="19462" bIns="9731" numCol="1" spcCol="0" rtlCol="0" fromWordArt="0" anchor="t" anchorCtr="0" forceAA="0" compatLnSpc="1">
                          <a:noAutofit/>
                        </wps:bodyPr>
                      </wps:wsp>
                      <wps:wsp>
                        <wps:cNvPr id="33" name="矩形 29" descr="KSO_WM_UNIT_INDEX=1_6&amp;KSO_WM_UNIT_TYPE=q_i&amp;KSO_WM_UNIT_ID=wpsdiag20163450_3*q_i*1_6&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wps:cNvSpPr/>
                        <wps:spPr>
                          <a:xfrm>
                            <a:off x="3662885" y="1236819"/>
                            <a:ext cx="303719" cy="319817"/>
                          </a:xfrm>
                          <a:prstGeom prst="rect">
                            <a:avLst/>
                          </a:prstGeom>
                          <a:noFill/>
                        </wps:spPr>
                        <wps:txbx>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02</w:t>
                              </w:r>
                            </w:p>
                          </w:txbxContent>
                        </wps:txbx>
                        <wps:bodyPr rot="0" spcFirstLastPara="0" vert="horz" wrap="square" lIns="19462" tIns="9731" rIns="19462" bIns="9731" numCol="1" spcCol="0" rtlCol="0" fromWordArt="0" anchor="t" anchorCtr="0" forceAA="0" compatLnSpc="1">
                          <a:noAutofit/>
                        </wps:bodyPr>
                      </wps:wsp>
                      <wps:wsp>
                        <wps:cNvPr id="34" name="矩形 30" descr="KSO_WM_UNIT_INDEX=1_7&amp;KSO_WM_UNIT_TYPE=q_i&amp;KSO_WM_UNIT_ID=wpsdiag20163450_3*q_i*1_7&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wps:cNvSpPr/>
                        <wps:spPr>
                          <a:xfrm>
                            <a:off x="1627949" y="1088823"/>
                            <a:ext cx="303719" cy="319817"/>
                          </a:xfrm>
                          <a:prstGeom prst="rect">
                            <a:avLst/>
                          </a:prstGeom>
                          <a:noFill/>
                        </wps:spPr>
                        <wps:txbx>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04</w:t>
                              </w:r>
                            </w:p>
                          </w:txbxContent>
                        </wps:txbx>
                        <wps:bodyPr rot="0" spcFirstLastPara="0" vert="horz" wrap="square" lIns="19462" tIns="9731" rIns="19462" bIns="9731" numCol="1" spcCol="0" rtlCol="0" fromWordArt="0" anchor="t" anchorCtr="0" forceAA="0" compatLnSpc="1">
                          <a:noAutofit/>
                        </wps:bodyPr>
                      </wps:wsp>
                      <wps:wsp>
                        <wps:cNvPr id="35" name="矩形 31" descr="KSO_WM_UNIT_INDEX=1_8&amp;KSO_WM_UNIT_TYPE=q_i&amp;KSO_WM_UNIT_ID=wpsdiag20163450_3*q_i*1_8&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wps:cNvSpPr/>
                        <wps:spPr>
                          <a:xfrm>
                            <a:off x="2595205" y="2230502"/>
                            <a:ext cx="303084" cy="319817"/>
                          </a:xfrm>
                          <a:prstGeom prst="rect">
                            <a:avLst/>
                          </a:prstGeom>
                          <a:noFill/>
                        </wps:spPr>
                        <wps:txbx>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03</w:t>
                              </w:r>
                            </w:p>
                          </w:txbxContent>
                        </wps:txbx>
                        <wps:bodyPr rot="0" spcFirstLastPara="0" vert="horz" wrap="square" lIns="19462" tIns="9731" rIns="19462" bIns="9731" numCol="1" spcCol="0" rtlCol="0" fromWordArt="0" anchor="t" anchorCtr="0" forceAA="0" compatLnSpc="1">
                          <a:noAutofit/>
                        </wps:bodyPr>
                      </wps:wsp>
                      <wps:wsp>
                        <wps:cNvPr id="36" name="矩形 90" descr="KSO_WM_UNIT_INDEX=1_1_1&amp;KSO_WM_UNIT_TYPE=q_h_a&amp;KSO_WM_UNIT_ID=wpsdiag20163450_3*q_h_a*1_1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wps:cNvSpPr/>
                        <wps:spPr>
                          <a:xfrm>
                            <a:off x="3514788" y="255985"/>
                            <a:ext cx="1521157" cy="174084"/>
                          </a:xfrm>
                          <a:prstGeom prst="rect">
                            <a:avLst/>
                          </a:prstGeom>
                          <a:noFill/>
                          <a:ln>
                            <a:noFill/>
                          </a:ln>
                        </wps:spPr>
                        <wps:txbx>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传统文化传承与保护</w:t>
                              </w:r>
                            </w:p>
                          </w:txbxContent>
                        </wps:txbx>
                        <wps:bodyPr rot="0" spcFirstLastPara="0" vert="horz" wrap="square" lIns="0" tIns="0" rIns="0" bIns="0" numCol="1" spcCol="0" rtlCol="0" fromWordArt="0" anchor="t" anchorCtr="0" forceAA="0" compatLnSpc="1">
                          <a:noAutofit/>
                        </wps:bodyPr>
                      </wps:wsp>
                      <wps:wsp>
                        <wps:cNvPr id="37" name="矩形 93" descr="KSO_WM_UNIT_INDEX=1_4_1&amp;KSO_WM_UNIT_TYPE=q_h_a&amp;KSO_WM_UNIT_ID=wpsdiag20163450_3*q_h_a*1_4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wps:cNvSpPr/>
                        <wps:spPr>
                          <a:xfrm>
                            <a:off x="0" y="909115"/>
                            <a:ext cx="1520825" cy="173990"/>
                          </a:xfrm>
                          <a:prstGeom prst="rect">
                            <a:avLst/>
                          </a:prstGeom>
                          <a:noFill/>
                          <a:ln>
                            <a:noFill/>
                          </a:ln>
                        </wps:spPr>
                        <wps:txbx>
                          <w:txbxContent>
                            <w:p>
                              <w:pPr>
                                <w:snapToGrid w:val="0"/>
                                <w:spacing w:line="192" w:lineRule="auto"/>
                                <w:ind w:firstLine="0" w:firstLineChars="0"/>
                                <w:jc w:val="right"/>
                                <w:rPr>
                                  <w:rFonts w:ascii="微软雅黑" w:hAnsi="微软雅黑" w:eastAsia="微软雅黑"/>
                                  <w:color w:val="000000"/>
                                  <w:sz w:val="20"/>
                                  <w:szCs w:val="28"/>
                                </w:rPr>
                              </w:pPr>
                              <w:r>
                                <w:rPr>
                                  <w:rFonts w:hint="eastAsia" w:ascii="微软雅黑" w:hAnsi="微软雅黑" w:eastAsia="微软雅黑"/>
                                  <w:color w:val="000000"/>
                                  <w:kern w:val="24"/>
                                  <w:sz w:val="20"/>
                                  <w:szCs w:val="21"/>
                                </w:rPr>
                                <w:t>发展特色文化产业</w:t>
                              </w:r>
                            </w:p>
                          </w:txbxContent>
                        </wps:txbx>
                        <wps:bodyPr rot="0" spcFirstLastPara="0" vert="horz" wrap="square" lIns="0" tIns="0" rIns="0" bIns="0" numCol="1" spcCol="0" rtlCol="0" fromWordArt="0" anchor="t" anchorCtr="0" forceAA="0" compatLnSpc="1">
                          <a:noAutofit/>
                        </wps:bodyPr>
                      </wps:wsp>
                      <wps:wsp>
                        <wps:cNvPr id="42" name="矩形 114" descr="KSO_WM_UNIT_INDEX=1_2_1&amp;KSO_WM_UNIT_TYPE=q_h_a&amp;KSO_WM_UNIT_ID=wpsdiag20163450_3*q_h_a*1_2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wps:cNvSpPr/>
                        <wps:spPr>
                          <a:xfrm>
                            <a:off x="4095968" y="1429801"/>
                            <a:ext cx="1521157" cy="174083"/>
                          </a:xfrm>
                          <a:prstGeom prst="rect">
                            <a:avLst/>
                          </a:prstGeom>
                          <a:noFill/>
                          <a:ln>
                            <a:noFill/>
                          </a:ln>
                        </wps:spPr>
                        <wps:txbx>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特色文化挖掘</w:t>
                              </w:r>
                            </w:p>
                          </w:txbxContent>
                        </wps:txbx>
                        <wps:bodyPr rot="0" spcFirstLastPara="0" vert="horz" wrap="square" lIns="0" tIns="0" rIns="0" bIns="0" numCol="1" spcCol="0" rtlCol="0" fromWordArt="0" anchor="t" anchorCtr="0" forceAA="0" compatLnSpc="1">
                          <a:noAutofit/>
                        </wps:bodyPr>
                      </wps:wsp>
                      <wps:wsp>
                        <wps:cNvPr id="43" name="矩形 117" descr="KSO_WM_UNIT_INDEX=1_3_1&amp;KSO_WM_UNIT_TYPE=q_h_a&amp;KSO_WM_UNIT_ID=wpsdiag20163450_3*q_h_a*1_3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wps:cNvSpPr/>
                        <wps:spPr>
                          <a:xfrm>
                            <a:off x="3430321" y="2389069"/>
                            <a:ext cx="1520825" cy="173861"/>
                          </a:xfrm>
                          <a:prstGeom prst="rect">
                            <a:avLst/>
                          </a:prstGeom>
                          <a:noFill/>
                          <a:ln>
                            <a:noFill/>
                          </a:ln>
                        </wps:spPr>
                        <wps:txbx>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红色基因弘扬</w:t>
                              </w:r>
                            </w:p>
                          </w:txbxContent>
                        </wps:txbx>
                        <wps:bodyPr rot="0" spcFirstLastPara="0" vert="horz" wrap="square" lIns="0" tIns="0" rIns="0" bIns="0" numCol="1" spcCol="0" rtlCol="0" fromWordArt="0" anchor="t" anchorCtr="0" forceAA="0" compatLnSpc="1">
                          <a:noAutofit/>
                        </wps:bodyPr>
                      </wps:wsp>
                    </wpg:wgp>
                  </a:graphicData>
                </a:graphic>
              </wp:inline>
            </w:drawing>
          </mc:Choice>
          <mc:Fallback>
            <w:pict>
              <v:group id="_x0000_s1026" o:spid="_x0000_s1026" o:spt="203" alt="KSO_WM_TAG_VERSION=1.0&amp;KSO_WM_BEAUTIFY_FLAG=#wm#&amp;KSO_WM_UNIT_TYPE=i&amp;KSO_WM_UNIT_ID=wpsdiag20163450_3*i*1&amp;KSO_WM_TEMPLATE_CATEGORY=wpsdiag&amp;KSO_WM_TEMPLATE_INDEX=20163450" style="height:177.8pt;width:395.3pt;" coordorigin="0,63427" coordsize="5617125,2526705" o:gfxdata="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">
                <o:lock v:ext="edit" aspectratio="f"/>
                <v:group id="组合 23" o:spid="_x0000_s1026" o:spt="203" style="position:absolute;left:1543380;top:63427;height:2526705;width:2527132;" coordorigin="1390002,0" coordsize="3995833,399583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任意多边形 2" o:spid="_x0000_s1026" o:spt="100" alt="KSO_WM_UNIT_INDEX=1_1&amp;KSO_WM_UNIT_TYPE=q_i&amp;KSO_WM_UNIT_ID=wpsdiag20163450_3*q_i*1_1&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6&amp;KSO_WM_UNIT_FILL_BACK_SCHEMECOLOR_INDEX=0" style="position:absolute;left:1238239;top:952500;height:2090833;width:2394360;rotation:-5898240f;v-text-anchor:middle;" fillcolor="#A9D18E [1945]" filled="t" stroked="f" coordsize="2486823,1280135" o:gfxdata="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Z2uvQAA&#10;ANsAAAAPAAAAAAAAAAEAIAAAACIAAABkcnMvZG93bnJldi54bWxQSwECFAAUAAAACACHTuJAMy8F&#10;njsAAAA5AAAAEAAAAAAAAAABACAAAAAMAQAAZHJzL3NoYXBleG1sLnhtbFBLBQYAAAAABgAGAFsB&#10;AAC2AwAAAAA=&#10;" path="m1206996,0c1898026,0,2420888,451858,2486417,1111797c2487908,1161802,2486577,1216805,2459814,1280135l2405164,1169501c2076007,662783,1260725,399887,878798,338508c802897,326310,571188,300113,254502,296845l0,305015c72728,286414,168060,257821,297297,220898c466187,148325,794998,3332,1206996,0xe">
                    <v:path o:connectlocs="1162118,0;2393969,1815888;2368355,2090833;2315737,1910135;846123,552882;245039,484834;0,498178;286243,360790;1162118,0" o:connectangles="0,0,0,0,0,0,0,0,0"/>
                    <v:fill on="t" focussize="0,0"/>
                    <v:stroke on="f" weight="1pt" miterlimit="8" joinstyle="miter"/>
                    <v:imagedata o:title=""/>
                    <o:lock v:ext="edit" aspectratio="f"/>
                  </v:shape>
                  <v:shape id="任意多边形 3" o:spid="_x0000_s1026" o:spt="100" alt="KSO_WM_UNIT_INDEX=1_2&amp;KSO_WM_UNIT_TYPE=q_i&amp;KSO_WM_UNIT_ID=wpsdiag20163450_3*q_i*1_2&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5&amp;KSO_WM_UNIT_FILL_BACK_SCHEMECOLOR_INDEX=0" style="position:absolute;left:2190739;top:0;height:2090833;width:2394360;v-text-anchor:middle;" fillcolor="#B4C7E7 [1304]" filled="t" stroked="f" coordsize="2486823,1280135" o:gfxdata="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QDGb4A&#10;AADbAAAADwAAAAAAAAABACAAAAAiAAAAZHJzL2Rvd25yZXYueG1sUEsBAhQAFAAAAAgAh07iQDMv&#10;BZ47AAAAOQAAABAAAAAAAAAAAQAgAAAADQEAAGRycy9zaGFwZXhtbC54bWxQSwUGAAAAAAYABgBb&#10;AQAAtwMAAAAA&#10;" path="m1206996,0c1898026,0,2420888,451858,2486417,1111797c2487908,1161802,2486577,1216805,2459814,1280135l2405164,1169501c2076007,662783,1260725,399887,878798,338508c802897,326310,571188,300113,254502,296845l0,305015c72728,286414,168060,257821,297297,220898c466187,148325,794998,3332,1206996,0xe">
                    <v:path o:connectlocs="1162118,0;2393969,1815888;2368355,2090833;2315737,1910135;846123,552882;245039,484834;0,498178;286243,360790;1162118,0" o:connectangles="0,0,0,0,0,0,0,0,0"/>
                    <v:fill on="t" focussize="0,0"/>
                    <v:stroke on="f" weight="1pt" miterlimit="8" joinstyle="miter"/>
                    <v:imagedata o:title=""/>
                    <o:lock v:ext="edit" aspectratio="f"/>
                  </v:shape>
                  <v:shape id="任意多边形 4" o:spid="_x0000_s1026" o:spt="100" alt="KSO_WM_UNIT_INDEX=1_3&amp;KSO_WM_UNIT_TYPE=q_i&amp;KSO_WM_UNIT_ID=wpsdiag20163450_3*q_i*1_3&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7&amp;KSO_WM_UNIT_FILL_BACK_SCHEMECOLOR_INDEX=0" style="position:absolute;left:3143239;top:952500;height:2090833;width:2394360;rotation:5898240f;v-text-anchor:middle;" fillcolor="#C55A11 [2405]" filled="t" stroked="f" coordsize="2486823,1280135" o:gfxdata="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tiVa8AAAA&#10;2wAAAA8AAAAAAAAAAQAgAAAAIgAAAGRycy9kb3ducmV2LnhtbFBLAQIUABQAAAAIAIdO4kAzLwWe&#10;OwAAADkAAAAQAAAAAAAAAAEAIAAAAAsBAABkcnMvc2hhcGV4bWwueG1sUEsFBgAAAAAGAAYAWwEA&#10;ALUDAAAAAA==&#10;" path="m1206996,0c1898026,0,2420888,451858,2486417,1111797c2487908,1161802,2486577,1216805,2459814,1280135l2405164,1169501c2076007,662783,1260725,399887,878798,338508c802897,326310,571188,300113,254502,296845l0,305015c72728,286414,168060,257821,297297,220898c466187,148325,794998,3332,1206996,0xe">
                    <v:path o:connectlocs="1162118,0;2393969,1815888;2368355,2090833;2315737,1910135;846123,552882;245039,484834;0,498178;286243,360790;1162118,0" o:connectangles="0,0,0,0,0,0,0,0,0"/>
                    <v:fill on="t" focussize="0,0"/>
                    <v:stroke on="f" weight="1pt" miterlimit="8" joinstyle="miter"/>
                    <v:imagedata o:title=""/>
                    <o:lock v:ext="edit" aspectratio="f"/>
                  </v:shape>
                  <v:shape id="任意多边形 5" o:spid="_x0000_s1026" o:spt="100" alt="KSO_WM_UNIT_INDEX=1_4&amp;KSO_WM_UNIT_TYPE=q_i&amp;KSO_WM_UNIT_ID=wpsdiag20163450_3*q_i*1_4&amp;KSO_WM_UNIT_LAYERLEVEL=1_1&amp;KSO_WM_UNIT_CLEAR=1&amp;KSO_WM_TAG_VERSION=1.0&amp;KSO_WM_BEAUTIFY_FLAG=#wm#&amp;KSO_WM_TEMPLATE_CATEGORY=wpsdiag&amp;KSO_WM_TEMPLATE_INDEX=20163450&amp;KSO_WM_SLIDE_ITEM_CNT=4&amp;KSO_WM_DIAGRAM_GROUP_CODE=q1_1&amp;KSO_WM_UNIT_FILL_TYPE=1&amp;KSO_WM_UNIT_FILL_FORE_SCHEMECOLOR_INDEX=5&amp;KSO_WM_UNIT_FILL_BACK_SCHEMECOLOR_INDEX=0" style="position:absolute;left:2190739;top:1905000;height:2090833;width:2394360;rotation:11796480f;v-text-anchor:middle;" fillcolor="#2E75B6 [2404]" filled="t" stroked="f" coordsize="2486823,1280135" o:gfxdata="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Uqii8AAAA&#10;2wAAAA8AAAAAAAAAAQAgAAAAIgAAAGRycy9kb3ducmV2LnhtbFBLAQIUABQAAAAIAIdO4kAzLwWe&#10;OwAAADkAAAAQAAAAAAAAAAEAIAAAAAsBAABkcnMvc2hhcGV4bWwueG1sUEsFBgAAAAAGAAYAWwEA&#10;ALUDAAAAAA==&#10;" path="m1206996,0c1898026,0,2420888,451858,2486417,1111797c2487908,1161802,2486577,1216805,2459814,1280135l2405164,1169501c2076007,662783,1260725,399887,878798,338508c802897,326310,571188,300113,254502,296845l0,305015c72728,286414,168060,257821,297297,220898c466187,148325,794998,3332,1206996,0xe">
                    <v:path o:connectlocs="1162118,0;2393969,1815888;2368355,2090833;2315737,1910135;846123,552882;245039,484834;0,498178;286243,360790;1162118,0" o:connectangles="0,0,0,0,0,0,0,0,0"/>
                    <v:fill on="t" focussize="0,0"/>
                    <v:stroke on="f" weight="1pt" miterlimit="8" joinstyle="miter"/>
                    <v:imagedata o:title=""/>
                    <o:lock v:ext="edit" aspectratio="f"/>
                  </v:shape>
                </v:group>
                <v:rect id="矩形 28" o:spid="_x0000_s1026" o:spt="1" alt="KSO_WM_UNIT_INDEX=1_5&amp;KSO_WM_UNIT_TYPE=q_i&amp;KSO_WM_UNIT_ID=wpsdiag20163450_3*q_i*1_5&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style="position:absolute;left:2653346;top:126854;height:319817;width:303719;" filled="f" stroked="f" coordsize="21600,21600" o:gfxdata="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rZSvQAA&#10;ANsAAAAPAAAAAAAAAAEAIAAAACIAAABkcnMvZG93bnJldi54bWxQSwECFAAUAAAACACHTuJAMy8F&#10;njsAAAA5AAAAEAAAAAAAAAABACAAAAAMAQAAZHJzL3NoYXBleG1sLnhtbFBLBQYAAAAABgAGAFsB&#10;AAC2AwAAAAA=&#10;">
                  <v:fill on="f" focussize="0,0"/>
                  <v:stroke on="f"/>
                  <v:imagedata o:title=""/>
                  <o:lock v:ext="edit" aspectratio="f"/>
                  <v:textbox inset="1.53244094488189pt,0.766220472440945pt,1.53244094488189pt,0.766220472440945pt">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01</w:t>
                        </w:r>
                      </w:p>
                    </w:txbxContent>
                  </v:textbox>
                </v:rect>
                <v:rect id="矩形 29" o:spid="_x0000_s1026" o:spt="1" alt="KSO_WM_UNIT_INDEX=1_6&amp;KSO_WM_UNIT_TYPE=q_i&amp;KSO_WM_UNIT_ID=wpsdiag20163450_3*q_i*1_6&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style="position:absolute;left:3662885;top:1236819;height:319817;width:303719;" filled="f" stroked="f" coordsize="21600,21600" o:gfxdata="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I2+vQAA&#10;ANsAAAAPAAAAAAAAAAEAIAAAACIAAABkcnMvZG93bnJldi54bWxQSwECFAAUAAAACACHTuJAMy8F&#10;njsAAAA5AAAAEAAAAAAAAAABACAAAAAMAQAAZHJzL3NoYXBleG1sLnhtbFBLBQYAAAAABgAGAFsB&#10;AAC2AwAAAAA=&#10;">
                  <v:fill on="f" focussize="0,0"/>
                  <v:stroke on="f"/>
                  <v:imagedata o:title=""/>
                  <o:lock v:ext="edit" aspectratio="f"/>
                  <v:textbox inset="1.53244094488189pt,0.766220472440945pt,1.53244094488189pt,0.766220472440945pt">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02</w:t>
                        </w:r>
                      </w:p>
                    </w:txbxContent>
                  </v:textbox>
                </v:rect>
                <v:rect id="矩形 30" o:spid="_x0000_s1026" o:spt="1" alt="KSO_WM_UNIT_INDEX=1_7&amp;KSO_WM_UNIT_TYPE=q_i&amp;KSO_WM_UNIT_ID=wpsdiag20163450_3*q_i*1_7&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style="position:absolute;left:1627949;top:1088823;height:319817;width:303719;" filled="f" stroked="f" coordsize="21600,21600" o:gfxdata="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RXKvQAA&#10;ANsAAAAPAAAAAAAAAAEAIAAAACIAAABkcnMvZG93bnJldi54bWxQSwECFAAUAAAACACHTuJAMy8F&#10;njsAAAA5AAAAEAAAAAAAAAABACAAAAAMAQAAZHJzL3NoYXBleG1sLnhtbFBLBQYAAAAABgAGAFsB&#10;AAC2AwAAAAA=&#10;">
                  <v:fill on="f" focussize="0,0"/>
                  <v:stroke on="f"/>
                  <v:imagedata o:title=""/>
                  <o:lock v:ext="edit" aspectratio="f"/>
                  <v:textbox inset="1.53244094488189pt,0.766220472440945pt,1.53244094488189pt,0.766220472440945pt">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04</w:t>
                        </w:r>
                      </w:p>
                    </w:txbxContent>
                  </v:textbox>
                </v:rect>
                <v:rect id="矩形 31" o:spid="_x0000_s1026" o:spt="1" alt="KSO_WM_UNIT_INDEX=1_8&amp;KSO_WM_UNIT_TYPE=q_i&amp;KSO_WM_UNIT_ID=wpsdiag20163450_3*q_i*1_8&amp;KSO_WM_UNIT_LAYERLEVEL=1_1&amp;KSO_WM_UNIT_CLEAR=1&amp;KSO_WM_TAG_VERSION=1.0&amp;KSO_WM_BEAUTIFY_FLAG=#wm#&amp;KSO_WM_TEMPLATE_CATEGORY=wpsdiag&amp;KSO_WM_TEMPLATE_INDEX=20163450&amp;KSO_WM_SLIDE_ITEM_CNT=4&amp;KSO_WM_DIAGRAM_GROUP_CODE=q1_1&amp;KSO_WM_UNIT_TEXT_FILL_TYPE=1&amp;KSO_WM_UNIT_TEXT_FILL_FORE_SCHEMECOLOR_INDEX=12" style="position:absolute;left:2595205;top:2230502;height:319817;width:303084;" filled="f" stroked="f" coordsize="21600,21600" o:gfxdata="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bBRvQAA&#10;ANsAAAAPAAAAAAAAAAEAIAAAACIAAABkcnMvZG93bnJldi54bWxQSwECFAAUAAAACACHTuJAMy8F&#10;njsAAAA5AAAAEAAAAAAAAAABACAAAAAMAQAAZHJzL3NoYXBleG1sLnhtbFBLBQYAAAAABgAGAFsB&#10;AAC2AwAAAAA=&#10;">
                  <v:fill on="f" focussize="0,0"/>
                  <v:stroke on="f"/>
                  <v:imagedata o:title=""/>
                  <o:lock v:ext="edit" aspectratio="f"/>
                  <v:textbox inset="1.53244094488189pt,0.766220472440945pt,1.53244094488189pt,0.766220472440945pt">
                    <w:txbxContent>
                      <w:p>
                        <w:pPr>
                          <w:snapToGrid w:val="0"/>
                          <w:spacing w:line="192" w:lineRule="auto"/>
                          <w:ind w:firstLine="0" w:firstLineChars="0"/>
                          <w:jc w:val="center"/>
                          <w:rPr>
                            <w:rFonts w:ascii="微软雅黑" w:hAnsi="微软雅黑" w:eastAsia="微软雅黑"/>
                            <w:color w:val="FFFFFF"/>
                            <w:sz w:val="28"/>
                          </w:rPr>
                        </w:pPr>
                        <w:r>
                          <w:rPr>
                            <w:rFonts w:hint="eastAsia" w:ascii="微软雅黑" w:hAnsi="微软雅黑" w:eastAsia="微软雅黑"/>
                            <w:b/>
                            <w:bCs/>
                            <w:color w:val="FFFFFF"/>
                            <w:kern w:val="24"/>
                            <w:sz w:val="28"/>
                            <w:szCs w:val="36"/>
                            <w14:shadow w14:blurRad="38100" w14:dist="38100" w14:dir="2700000" w14:sx="100000" w14:sy="100000" w14:kx="0" w14:ky="0" w14:algn="tl">
                              <w14:srgbClr w14:val="000000">
                                <w14:alpha w14:val="57000"/>
                              </w14:srgbClr>
                            </w14:shadow>
                          </w:rPr>
                          <w:t>03</w:t>
                        </w:r>
                      </w:p>
                    </w:txbxContent>
                  </v:textbox>
                </v:rect>
                <v:rect id="矩形 90" o:spid="_x0000_s1026" o:spt="1" alt="KSO_WM_UNIT_INDEX=1_1_1&amp;KSO_WM_UNIT_TYPE=q_h_a&amp;KSO_WM_UNIT_ID=wpsdiag20163450_3*q_h_a*1_1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style="position:absolute;left:3514788;top:255985;height:174084;width:1521157;"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传统文化传承与保护</w:t>
                        </w:r>
                      </w:p>
                    </w:txbxContent>
                  </v:textbox>
                </v:rect>
                <v:rect id="矩形 93" o:spid="_x0000_s1026" o:spt="1" alt="KSO_WM_UNIT_INDEX=1_4_1&amp;KSO_WM_UNIT_TYPE=q_h_a&amp;KSO_WM_UNIT_ID=wpsdiag20163450_3*q_h_a*1_4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style="position:absolute;left:0;top:909115;height:173990;width:1520825;"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spacing w:line="192" w:lineRule="auto"/>
                          <w:ind w:firstLine="0" w:firstLineChars="0"/>
                          <w:jc w:val="right"/>
                          <w:rPr>
                            <w:rFonts w:ascii="微软雅黑" w:hAnsi="微软雅黑" w:eastAsia="微软雅黑"/>
                            <w:color w:val="000000"/>
                            <w:sz w:val="20"/>
                            <w:szCs w:val="28"/>
                          </w:rPr>
                        </w:pPr>
                        <w:r>
                          <w:rPr>
                            <w:rFonts w:hint="eastAsia" w:ascii="微软雅黑" w:hAnsi="微软雅黑" w:eastAsia="微软雅黑"/>
                            <w:color w:val="000000"/>
                            <w:kern w:val="24"/>
                            <w:sz w:val="20"/>
                            <w:szCs w:val="21"/>
                          </w:rPr>
                          <w:t>发展特色文化产业</w:t>
                        </w:r>
                      </w:p>
                    </w:txbxContent>
                  </v:textbox>
                </v:rect>
                <v:rect id="矩形 114" o:spid="_x0000_s1026" o:spt="1" alt="KSO_WM_UNIT_INDEX=1_2_1&amp;KSO_WM_UNIT_TYPE=q_h_a&amp;KSO_WM_UNIT_ID=wpsdiag20163450_3*q_h_a*1_2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style="position:absolute;left:4095968;top:1429801;height:174083;width:1521157;"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特色文化挖掘</w:t>
                        </w:r>
                      </w:p>
                    </w:txbxContent>
                  </v:textbox>
                </v:rect>
                <v:rect id="矩形 117" o:spid="_x0000_s1026" o:spt="1" alt="KSO_WM_UNIT_INDEX=1_3_1&amp;KSO_WM_UNIT_TYPE=q_h_a&amp;KSO_WM_UNIT_ID=wpsdiag20163450_3*q_h_a*1_3_1&amp;KSO_WM_UNIT_LAYERLEVEL=1_1_1&amp;KSO_WM_UNIT_HIGHLIGHT=0&amp;KSO_WM_UNIT_CLEAR=0&amp;KSO_WM_UNIT_COMPATIBLE=0&amp;KSO_WM_UNIT_PRESET_TEXT=ADD YOUR TEXT&amp;KSO_WM_UNIT_VALUE=11&amp;KSO_WM_TAG_VERSION=1.0&amp;KSO_WM_BEAUTIFY_FLAG=#wm#&amp;KSO_WM_TEMPLATE_CATEGORY=wpsdiag&amp;KSO_WM_TEMPLATE_INDEX=20163450&amp;KSO_WM_SLIDE_ITEM_CNT=4&amp;KSO_WM_DIAGRAM_GROUP_CODE=q1_1&amp;KSO_WM_UNIT_FILL_TYPE=1&amp;KSO_WM_UNIT_FILL_FORE_SCHEMECOLOR_INDEX=8&amp;KSO_WM_UNIT_FILL_BACK_SCHEMECOLOR_INDEX=0&amp;KSO_WM_UNIT_TEXT_FILL_TYPE=1&amp;KSO_WM_UNIT_TEXT_FILL_FORE_SCHEMECOLOR_INDEX=13&amp;KSO_WM_UNIT_LINE_FILL_TYPE=1&amp;KSO_WM_UNIT_LINE_FORE_SCHEMECOLOR_INDEX=0&amp;KSO_WM_UNIT_LINE_BACK_SCHEMECOLOR_INDEX=0" style="position:absolute;left:3430321;top:2389069;height:173861;width:1520825;"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spacing w:line="192" w:lineRule="auto"/>
                          <w:ind w:firstLine="0" w:firstLineChars="0"/>
                          <w:rPr>
                            <w:rFonts w:ascii="微软雅黑" w:hAnsi="微软雅黑" w:eastAsia="微软雅黑"/>
                            <w:color w:val="000000"/>
                            <w:sz w:val="20"/>
                            <w:szCs w:val="28"/>
                          </w:rPr>
                        </w:pPr>
                        <w:r>
                          <w:rPr>
                            <w:rFonts w:hint="eastAsia" w:ascii="微软雅黑" w:hAnsi="微软雅黑" w:eastAsia="微软雅黑"/>
                            <w:color w:val="000000"/>
                            <w:kern w:val="24"/>
                            <w:sz w:val="20"/>
                            <w:szCs w:val="21"/>
                          </w:rPr>
                          <w:t>红色基因弘扬</w:t>
                        </w:r>
                      </w:p>
                    </w:txbxContent>
                  </v:textbox>
                </v:rect>
                <w10:wrap type="none"/>
                <w10:anchorlock/>
              </v:group>
            </w:pict>
          </mc:Fallback>
        </mc:AlternateContent>
      </w:r>
    </w:p>
    <w:p>
      <w:pPr>
        <w:overflowPunct w:val="0"/>
        <w:spacing w:line="360" w:lineRule="auto"/>
        <w:ind w:firstLine="0" w:firstLineChars="0"/>
        <w:jc w:val="center"/>
        <w:rPr>
          <w:rFonts w:eastAsia="宋体" w:cs="Times New Roman"/>
          <w:b w:val="0"/>
          <w:bCs/>
          <w:w w:val="90"/>
          <w:sz w:val="24"/>
          <w:szCs w:val="24"/>
        </w:rPr>
      </w:pPr>
      <w:r>
        <w:rPr>
          <w:rFonts w:eastAsia="宋体" w:cs="Times New Roman"/>
          <w:b w:val="0"/>
          <w:bCs/>
          <w:w w:val="90"/>
          <w:sz w:val="24"/>
          <w:szCs w:val="24"/>
        </w:rPr>
        <w:t>图7-2 紫阳特色文化建设</w:t>
      </w:r>
    </w:p>
    <w:p>
      <w:pPr>
        <w:ind w:firstLine="640"/>
        <w:outlineLvl w:val="1"/>
        <w:rPr>
          <w:rFonts w:ascii="黑体" w:hAnsi="黑体" w:eastAsia="黑体"/>
          <w:b w:val="0"/>
          <w:bCs/>
        </w:rPr>
      </w:pPr>
      <w:bookmarkStart w:id="242" w:name="_Toc24783"/>
      <w:bookmarkStart w:id="243" w:name="_Toc10435"/>
      <w:bookmarkStart w:id="244" w:name="_Toc16806"/>
      <w:bookmarkStart w:id="245" w:name="_Toc12658"/>
      <w:r>
        <w:rPr>
          <w:rFonts w:hint="eastAsia" w:ascii="黑体" w:hAnsi="黑体" w:eastAsia="黑体"/>
          <w:b w:val="0"/>
          <w:bCs/>
        </w:rPr>
        <w:t>三、加强乡村公共文化建设</w:t>
      </w:r>
      <w:bookmarkEnd w:id="242"/>
      <w:bookmarkEnd w:id="243"/>
      <w:bookmarkEnd w:id="244"/>
      <w:bookmarkEnd w:id="245"/>
    </w:p>
    <w:p>
      <w:pPr>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深入实施文化惠民工程，加快构建现代公共文化服务体系，推动公共文化服务向农村延伸。</w:t>
      </w:r>
    </w:p>
    <w:p>
      <w:pPr>
        <w:overflowPunct w:val="0"/>
        <w:ind w:firstLine="643"/>
        <w:outlineLvl w:val="2"/>
        <w:rPr>
          <w:rFonts w:ascii="楷体" w:hAnsi="楷体" w:eastAsia="楷体"/>
          <w:b w:val="0"/>
          <w:bCs/>
          <w:szCs w:val="24"/>
        </w:rPr>
      </w:pPr>
      <w:r>
        <w:rPr>
          <w:rFonts w:hint="eastAsia" w:ascii="楷体" w:hAnsi="楷体" w:eastAsia="楷体"/>
          <w:b w:val="0"/>
          <w:bCs/>
          <w:szCs w:val="24"/>
        </w:rPr>
        <w:t>（一）构建现代公共文化服务体系</w:t>
      </w:r>
    </w:p>
    <w:p>
      <w:pPr>
        <w:ind w:firstLine="640"/>
        <w:rPr>
          <w:rFonts w:ascii="宋体" w:hAnsi="宋体" w:eastAsia="宋体"/>
          <w:b w:val="0"/>
          <w:bCs/>
          <w:szCs w:val="24"/>
        </w:rPr>
      </w:pPr>
      <w:r>
        <w:rPr>
          <w:rFonts w:hint="eastAsia" w:ascii="仿宋_GB2312" w:hAnsi="仿宋_GB2312" w:eastAsia="仿宋_GB2312" w:cs="仿宋_GB2312"/>
          <w:b w:val="0"/>
          <w:bCs/>
          <w:szCs w:val="24"/>
        </w:rPr>
        <w:t>健全乡村公共文化服务体系，推进基本公共文化服务标准化、均等化。加快完善以“六馆一宫一中心”为主的县级公共文化设施建设，辐射带动基层综合性文化服务中心建设，实现镇、村两级公共文化服务设施全覆盖。实施文化信息资源共享平台建设、数字图书馆推广计划等公共数字文化工程，积极发挥新媒体作用，使农民群众便捷获取优质数字文化资源。</w:t>
      </w:r>
    </w:p>
    <w:p>
      <w:pPr>
        <w:overflowPunct w:val="0"/>
        <w:ind w:firstLine="643"/>
        <w:outlineLvl w:val="2"/>
        <w:rPr>
          <w:rFonts w:ascii="楷体" w:hAnsi="楷体" w:eastAsia="楷体"/>
          <w:b w:val="0"/>
          <w:bCs/>
          <w:szCs w:val="24"/>
        </w:rPr>
      </w:pPr>
      <w:r>
        <w:rPr>
          <w:rFonts w:hint="eastAsia" w:ascii="楷体" w:hAnsi="楷体" w:eastAsia="楷体"/>
          <w:b w:val="0"/>
          <w:bCs/>
          <w:szCs w:val="24"/>
        </w:rPr>
        <w:t>（二）增加公共文化产品和服务供给</w:t>
      </w:r>
    </w:p>
    <w:p>
      <w:pPr>
        <w:spacing w:after="120" w:afterLines="50"/>
        <w:ind w:firstLine="640"/>
        <w:rPr>
          <w:rFonts w:eastAsia="宋体"/>
          <w:b w:val="0"/>
          <w:bCs/>
          <w:szCs w:val="32"/>
        </w:rPr>
      </w:pPr>
      <w:r>
        <w:rPr>
          <w:rFonts w:hint="eastAsia" w:ascii="仿宋_GB2312" w:hAnsi="仿宋_GB2312" w:eastAsia="仿宋_GB2312" w:cs="仿宋_GB2312"/>
          <w:b w:val="0"/>
          <w:bCs/>
          <w:szCs w:val="24"/>
        </w:rPr>
        <w:t>以县、镇、村三级文化阵地为载体，持续推动“百名文化专家基层行”、文化“六进”、文化资源下乡等活动，丰富群众文化生活。利用传统节日、重要纪念日，举办茶艺大赛、采摘节、摄影节、农业嘉年华等节庆活动，开展农民艺术节民间技艺大赛、农民文化大院技能展示、手工艺作品比赛、山地自行车赛等文体竞技比赛，丰富农民文体生活。支持“三农”题材文艺创作，鼓励社会文艺团队推出反映农民生产生活的优秀文艺作品。</w:t>
      </w:r>
    </w:p>
    <w:tbl>
      <w:tblPr>
        <w:tblStyle w:val="16"/>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8629" w:type="dxa"/>
            <w:shd w:val="clear" w:color="auto" w:fill="D0CECE" w:themeFill="background2" w:themeFillShade="E6"/>
            <w:vAlign w:val="center"/>
          </w:tcPr>
          <w:p>
            <w:pPr>
              <w:spacing w:line="240" w:lineRule="auto"/>
              <w:ind w:firstLine="0" w:firstLineChars="0"/>
              <w:jc w:val="center"/>
              <w:rPr>
                <w:rFonts w:eastAsia="宋体"/>
                <w:b w:val="0"/>
                <w:bCs/>
                <w:kern w:val="0"/>
                <w:sz w:val="24"/>
                <w:szCs w:val="20"/>
              </w:rPr>
            </w:pPr>
            <w:r>
              <w:rPr>
                <w:rFonts w:hint="eastAsia" w:ascii="宋体" w:hAnsi="宋体" w:cs="宋体" w:eastAsiaTheme="minorEastAsia"/>
                <w:b w:val="0"/>
                <w:bCs/>
                <w:w w:val="90"/>
                <w:kern w:val="0"/>
                <w:sz w:val="24"/>
                <w:szCs w:val="20"/>
              </w:rPr>
              <w:t>专栏9 文化兴盛行动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0" w:hRule="atLeast"/>
          <w:jc w:val="center"/>
        </w:trPr>
        <w:tc>
          <w:tcPr>
            <w:tcW w:w="8629" w:type="dxa"/>
          </w:tcPr>
          <w:p>
            <w:pPr>
              <w:spacing w:line="240" w:lineRule="auto"/>
              <w:ind w:firstLine="437"/>
              <w:rPr>
                <w:rFonts w:ascii="宋体" w:hAnsi="宋体" w:cs="宋体" w:eastAsiaTheme="minorEastAsia"/>
                <w:b w:val="0"/>
                <w:bCs/>
                <w:w w:val="90"/>
                <w:kern w:val="0"/>
                <w:sz w:val="24"/>
                <w:szCs w:val="24"/>
              </w:rPr>
            </w:pPr>
            <w:r>
              <w:rPr>
                <w:rFonts w:hint="eastAsia" w:ascii="宋体" w:hAnsi="宋体" w:cs="宋体" w:eastAsiaTheme="minorEastAsia"/>
                <w:b w:val="0"/>
                <w:bCs/>
                <w:w w:val="90"/>
                <w:kern w:val="0"/>
                <w:sz w:val="24"/>
                <w:szCs w:val="24"/>
              </w:rPr>
              <w:t>红色基因传承行动：做好中国人民解放军中原军区布告遗址、紫阳县卢楚衡、陈秀凤抗日义勇军联队发起地遗址等保护与开发，挖掘红色文化资源，建立紫阳县红色旅游基地。创新红色文化产品，探索体验式红色文化教育活动；举办红色文化进校园活动，以红色文化知识竞赛、实景演出、主题演讲等方式，提升青少年对红色文化、党史的认知。</w:t>
            </w:r>
          </w:p>
          <w:p>
            <w:pPr>
              <w:spacing w:line="240" w:lineRule="auto"/>
              <w:ind w:firstLine="437"/>
              <w:rPr>
                <w:rFonts w:ascii="宋体" w:hAnsi="宋体" w:cs="宋体" w:eastAsiaTheme="minorEastAsia"/>
                <w:b w:val="0"/>
                <w:bCs/>
                <w:w w:val="90"/>
                <w:kern w:val="0"/>
                <w:sz w:val="24"/>
                <w:szCs w:val="24"/>
              </w:rPr>
            </w:pPr>
            <w:r>
              <w:rPr>
                <w:rFonts w:hint="eastAsia" w:ascii="宋体" w:hAnsi="宋体" w:cs="宋体" w:eastAsiaTheme="minorEastAsia"/>
                <w:b w:val="0"/>
                <w:bCs/>
                <w:w w:val="90"/>
                <w:kern w:val="0"/>
                <w:sz w:val="24"/>
                <w:szCs w:val="24"/>
              </w:rPr>
              <w:t>非物质文化遗产传承行动：对紫阳县彩莲船、金钱棍、五马棋、</w:t>
            </w:r>
            <w:r>
              <w:rPr>
                <w:rFonts w:ascii="宋体" w:hAnsi="宋体" w:cs="宋体" w:eastAsiaTheme="minorEastAsia"/>
                <w:b w:val="0"/>
                <w:bCs/>
                <w:w w:val="90"/>
                <w:kern w:val="0"/>
                <w:sz w:val="24"/>
                <w:szCs w:val="24"/>
              </w:rPr>
              <w:t>铁器传统制作技艺</w:t>
            </w:r>
            <w:r>
              <w:rPr>
                <w:rFonts w:hint="eastAsia" w:ascii="宋体" w:hAnsi="宋体" w:cs="宋体" w:eastAsiaTheme="minorEastAsia"/>
                <w:b w:val="0"/>
                <w:bCs/>
                <w:w w:val="90"/>
                <w:kern w:val="0"/>
                <w:sz w:val="24"/>
                <w:szCs w:val="24"/>
              </w:rPr>
              <w:t>等非物质文化遗产进行挖掘和保护，申报一批民间文学、传统舞蹈、传统体育、游艺等非物质文化遗产。</w:t>
            </w:r>
          </w:p>
          <w:p>
            <w:pPr>
              <w:spacing w:line="240" w:lineRule="auto"/>
              <w:ind w:firstLine="437"/>
              <w:rPr>
                <w:rFonts w:ascii="宋体" w:hAnsi="宋体" w:cs="宋体" w:eastAsiaTheme="minorEastAsia"/>
                <w:b w:val="0"/>
                <w:bCs/>
                <w:w w:val="90"/>
                <w:kern w:val="0"/>
                <w:sz w:val="24"/>
                <w:szCs w:val="24"/>
              </w:rPr>
            </w:pPr>
            <w:r>
              <w:rPr>
                <w:rFonts w:hint="eastAsia" w:ascii="宋体" w:hAnsi="宋体" w:cs="宋体" w:eastAsiaTheme="minorEastAsia"/>
                <w:b w:val="0"/>
                <w:bCs/>
                <w:w w:val="90"/>
                <w:kern w:val="0"/>
                <w:sz w:val="24"/>
                <w:szCs w:val="24"/>
              </w:rPr>
              <w:t>发展变迁物证征藏行动：征集新中国成立以来全县乡村经济社会发展的物证，包括票证、生产工具、生活用品、交通通讯器材、家用电器等，使长期沉睡在库房的文物得以与观众见面，倡导社会公众一同保存紫阳县乡村经济社会发展的珍贵见证物。</w:t>
            </w:r>
          </w:p>
          <w:p>
            <w:pPr>
              <w:spacing w:line="240" w:lineRule="auto"/>
              <w:ind w:firstLine="437"/>
              <w:rPr>
                <w:rFonts w:eastAsia="宋体" w:cs="Times New Roman"/>
                <w:b w:val="0"/>
                <w:bCs/>
                <w:w w:val="90"/>
                <w:kern w:val="0"/>
                <w:sz w:val="24"/>
                <w:szCs w:val="24"/>
              </w:rPr>
            </w:pPr>
            <w:r>
              <w:rPr>
                <w:rFonts w:hint="eastAsia" w:eastAsia="宋体" w:cs="Times New Roman"/>
                <w:b w:val="0"/>
                <w:bCs/>
                <w:w w:val="90"/>
                <w:kern w:val="0"/>
                <w:sz w:val="24"/>
                <w:szCs w:val="24"/>
              </w:rPr>
              <w:t>“全民大阅读”促进行动：以综合性文化服务中心、村（社区）级阅报栏、农家书屋为载体，围绕产业发展、文化宣传、文明建设等，确定“紫阳阅读日”，建立“行走的书箱”，举办乡村读书节。</w:t>
            </w:r>
          </w:p>
          <w:p>
            <w:pPr>
              <w:spacing w:line="240" w:lineRule="auto"/>
              <w:ind w:firstLine="437"/>
              <w:rPr>
                <w:rFonts w:eastAsia="宋体" w:cs="Times New Roman"/>
                <w:b w:val="0"/>
                <w:bCs/>
                <w:w w:val="90"/>
                <w:kern w:val="0"/>
                <w:sz w:val="24"/>
                <w:szCs w:val="24"/>
              </w:rPr>
            </w:pPr>
            <w:r>
              <w:rPr>
                <w:rFonts w:hint="eastAsia" w:eastAsia="宋体" w:cs="Times New Roman"/>
                <w:b w:val="0"/>
                <w:bCs/>
                <w:w w:val="90"/>
                <w:kern w:val="0"/>
                <w:sz w:val="24"/>
                <w:szCs w:val="24"/>
              </w:rPr>
              <w:t>文化对外开放交流行动：以贴近基层、贴近生活、贴近群众为主线，以紫阳城市展览馆、会馆博物馆、紫阳茶博物馆等为载体，定期举办茶文化、民歌文化交流会、演出等活动，深化农村文化交流合作，引导紫阳巴山文化走出去。</w:t>
            </w:r>
          </w:p>
          <w:p>
            <w:pPr>
              <w:spacing w:line="240" w:lineRule="auto"/>
              <w:ind w:firstLine="437"/>
              <w:rPr>
                <w:rFonts w:eastAsia="宋体" w:cs="Times New Roman"/>
                <w:b w:val="0"/>
                <w:bCs/>
                <w:w w:val="90"/>
                <w:kern w:val="0"/>
                <w:sz w:val="24"/>
                <w:szCs w:val="24"/>
              </w:rPr>
            </w:pPr>
            <w:r>
              <w:rPr>
                <w:rFonts w:hint="eastAsia" w:eastAsia="宋体" w:cs="Times New Roman"/>
                <w:b w:val="0"/>
                <w:bCs/>
                <w:w w:val="90"/>
                <w:kern w:val="0"/>
                <w:sz w:val="24"/>
                <w:szCs w:val="24"/>
              </w:rPr>
              <w:t>文化下乡推广行动：每年送书下乡1000册，送电影下乡50场，送戏下乡</w:t>
            </w:r>
            <w:r>
              <w:rPr>
                <w:rFonts w:eastAsia="宋体" w:cs="Times New Roman"/>
                <w:b w:val="0"/>
                <w:bCs/>
                <w:w w:val="90"/>
                <w:kern w:val="0"/>
                <w:sz w:val="24"/>
                <w:szCs w:val="24"/>
              </w:rPr>
              <w:t>3</w:t>
            </w:r>
            <w:r>
              <w:rPr>
                <w:rFonts w:hint="eastAsia" w:eastAsia="宋体" w:cs="Times New Roman"/>
                <w:b w:val="0"/>
                <w:bCs/>
                <w:w w:val="90"/>
                <w:kern w:val="0"/>
                <w:sz w:val="24"/>
                <w:szCs w:val="24"/>
              </w:rPr>
              <w:t>0场，送展览讲座下乡50场，对全县乡村书院实施免费开放补助。每年安排非遗、音乐、舞蹈、戏曲等1</w:t>
            </w:r>
            <w:r>
              <w:rPr>
                <w:rFonts w:eastAsia="宋体" w:cs="Times New Roman"/>
                <w:b w:val="0"/>
                <w:bCs/>
                <w:w w:val="90"/>
                <w:kern w:val="0"/>
                <w:sz w:val="24"/>
                <w:szCs w:val="24"/>
              </w:rPr>
              <w:t>00</w:t>
            </w:r>
            <w:r>
              <w:rPr>
                <w:rFonts w:hint="eastAsia" w:eastAsia="宋体" w:cs="Times New Roman"/>
                <w:b w:val="0"/>
                <w:bCs/>
                <w:w w:val="90"/>
                <w:kern w:val="0"/>
                <w:sz w:val="24"/>
                <w:szCs w:val="24"/>
              </w:rPr>
              <w:t>名文化专家下村结对，为民俗文化发展当好“指导员”，传承地域文化精粹，推动县域文化产业发展。</w:t>
            </w:r>
          </w:p>
          <w:p>
            <w:pPr>
              <w:spacing w:line="240" w:lineRule="auto"/>
              <w:ind w:firstLine="437"/>
              <w:rPr>
                <w:rFonts w:eastAsia="宋体" w:cs="Times New Roman"/>
                <w:b w:val="0"/>
                <w:bCs/>
                <w:w w:val="90"/>
                <w:kern w:val="0"/>
                <w:sz w:val="24"/>
                <w:szCs w:val="24"/>
              </w:rPr>
            </w:pPr>
            <w:r>
              <w:rPr>
                <w:rFonts w:hint="eastAsia" w:eastAsia="宋体" w:cs="Times New Roman"/>
                <w:b w:val="0"/>
                <w:bCs/>
                <w:w w:val="90"/>
                <w:kern w:val="0"/>
                <w:sz w:val="24"/>
                <w:szCs w:val="24"/>
              </w:rPr>
              <w:t>“六馆一宫一中心”建设行动。建设博物馆、图书馆、文化馆、科技馆、档案馆、历史文化展示馆、青少年宫及演艺中心等公共文化设施。</w:t>
            </w:r>
          </w:p>
        </w:tc>
      </w:tr>
    </w:tbl>
    <w:p>
      <w:pPr>
        <w:spacing w:before="240" w:beforeLines="100" w:after="120" w:afterLines="50" w:line="360" w:lineRule="auto"/>
        <w:ind w:firstLine="640"/>
        <w:jc w:val="center"/>
        <w:rPr>
          <w:rFonts w:ascii="黑体" w:hAnsi="黑体" w:eastAsia="黑体"/>
          <w:b w:val="0"/>
          <w:bCs/>
          <w:szCs w:val="32"/>
        </w:rPr>
        <w:sectPr>
          <w:footerReference r:id="rId24" w:type="first"/>
          <w:footerReference r:id="rId23"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246" w:name="_Toc26456"/>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247" w:name="_Toc31148"/>
      <w:bookmarkStart w:id="248" w:name="_Toc18389"/>
      <w:bookmarkStart w:id="249" w:name="_Toc24407"/>
      <w:r>
        <w:rPr>
          <w:rFonts w:hint="eastAsia" w:ascii="黑体" w:hAnsi="黑体" w:eastAsia="黑体"/>
          <w:b w:val="0"/>
          <w:bCs/>
          <w:szCs w:val="32"/>
        </w:rPr>
        <w:t>第八章 坚持“三治合一” 着力构建和谐善治乡村</w:t>
      </w:r>
      <w:bookmarkEnd w:id="246"/>
      <w:bookmarkEnd w:id="247"/>
      <w:bookmarkEnd w:id="248"/>
      <w:bookmarkEnd w:id="249"/>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坚持自治为基、法治为本、德治为要，统筹推进乡村治理体系和治理能力现代化，打造全民共建共治共享的乡村善治格局。</w:t>
      </w:r>
    </w:p>
    <w:p>
      <w:pPr>
        <w:ind w:firstLine="640"/>
        <w:outlineLvl w:val="1"/>
        <w:rPr>
          <w:rFonts w:ascii="黑体" w:hAnsi="黑体" w:eastAsia="黑体"/>
          <w:b w:val="0"/>
          <w:bCs/>
        </w:rPr>
      </w:pPr>
      <w:bookmarkStart w:id="250" w:name="_Toc29760"/>
      <w:bookmarkStart w:id="251" w:name="_Toc15063"/>
      <w:r>
        <w:rPr>
          <w:rFonts w:hint="eastAsia" w:ascii="黑体" w:hAnsi="黑体" w:eastAsia="黑体"/>
          <w:b w:val="0"/>
          <w:bCs/>
        </w:rPr>
        <w:t>一、加强农村基层党组织建设</w:t>
      </w:r>
      <w:bookmarkEnd w:id="250"/>
      <w:bookmarkEnd w:id="251"/>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农村基层党组织领导地位不动摇，以提升组织力为重点，突出政治功能，把农村基层党组织建设成为宣传党的主张、贯彻党的决定、领导基层治理、团结动员群众、推动改革发展的坚强战斗堡垒，为新时代乡村全面振兴提供坚强政治和组织保证。</w:t>
      </w:r>
    </w:p>
    <w:p>
      <w:pPr>
        <w:overflowPunct w:val="0"/>
        <w:ind w:firstLine="643"/>
        <w:outlineLvl w:val="2"/>
        <w:rPr>
          <w:rFonts w:ascii="楷体" w:hAnsi="楷体" w:eastAsia="楷体"/>
          <w:b w:val="0"/>
          <w:bCs/>
          <w:szCs w:val="24"/>
        </w:rPr>
      </w:pPr>
      <w:r>
        <w:rPr>
          <w:rFonts w:hint="eastAsia" w:ascii="楷体" w:hAnsi="楷体" w:eastAsia="楷体"/>
          <w:b w:val="0"/>
          <w:bCs/>
          <w:szCs w:val="24"/>
        </w:rPr>
        <w:t>（一）完善农村基层党组织体系</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抓乡促村，全面推行产业链、行业链、务工链上建党组织模式，切实加强易地移民搬迁社区党组织建设，延伸基层党组织在新兴领域“两个覆盖”工作链。加强基层党组织对各类基层组织的领导，推进村党组织书记、村委会主任“一肩挑”和将村党组织书记推选为村集体领办的专业合作社负责人。结合扫黑除恶专项斗争，推动软弱涣散基层党组织“动态清零”。巩固基层党建“质量提升年”工作成果，持续推进村级党组织标准化、规范化建设，2020年底全县村级党组织全部达到标准化水平,实现基层党组织全面进步、全面过硬。</w:t>
      </w:r>
    </w:p>
    <w:p>
      <w:pPr>
        <w:overflowPunct w:val="0"/>
        <w:ind w:firstLine="643"/>
        <w:outlineLvl w:val="2"/>
        <w:rPr>
          <w:rFonts w:ascii="楷体" w:hAnsi="楷体" w:eastAsia="楷体"/>
          <w:b w:val="0"/>
          <w:bCs/>
          <w:szCs w:val="24"/>
        </w:rPr>
      </w:pPr>
      <w:r>
        <w:rPr>
          <w:rFonts w:hint="eastAsia" w:ascii="楷体" w:hAnsi="楷体" w:eastAsia="楷体"/>
          <w:b w:val="0"/>
          <w:bCs/>
          <w:szCs w:val="24"/>
        </w:rPr>
        <w:t>（二）选优配强基层党组织带头人</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全面落实村（社区）党组织书记县级备案管理办法，坚持“凡动必备”原则，严把“四有四能”“十个不得”选人标准，采取直接选派、公开遴选、第一书记或驻村工作队员转任等形式，选优配强党组织书记。建立不胜任不合格村干部动态调整机制，推行村级事务“小微权力清单”制度，持续推进“青苗工程”，深化“一回引四培养”行动，实行后备力量“定岗锻炼”，到2020年全县动态培养储备村党组织书记后备力量400名左右,到2023年动态培养储备村级后备力量1000名左右，着力建设一支懂农业、爱农村、爱农业的农村基层干部队伍。</w:t>
      </w:r>
    </w:p>
    <w:p>
      <w:pPr>
        <w:overflowPunct w:val="0"/>
        <w:ind w:firstLine="643"/>
        <w:outlineLvl w:val="2"/>
        <w:rPr>
          <w:rFonts w:ascii="楷体" w:hAnsi="楷体" w:eastAsia="楷体"/>
          <w:b w:val="0"/>
          <w:bCs/>
          <w:szCs w:val="24"/>
        </w:rPr>
      </w:pPr>
      <w:r>
        <w:rPr>
          <w:rFonts w:hint="eastAsia" w:ascii="楷体" w:hAnsi="楷体" w:eastAsia="楷体"/>
          <w:b w:val="0"/>
          <w:bCs/>
          <w:szCs w:val="24"/>
        </w:rPr>
        <w:t>（三）强化农村党员队伍建设</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加强农村党员日常教育监督管理，认真落实“不忘初心、牢记使命”制度，扎实推进“两学一做”常态化制度化，教育引导党员自觉用习近平新时代中国特色社会主义思想润心铸魂。健全党员全员轮训制度，多形式开展教育培训。严格落实“三会一课”、主题党日、谈心谈话等制度，妥善处置不合格党员，强化党性教育，增强党员意识。深化“承诺、践诺、积分、评议”机制，充分发挥党员作用。坚持把政治标准放在首位，持续推进“精英人才”入党工程，加大在优秀农民工群体发展党员力度，着力建设充满生机和活力的农村党员队伍。</w:t>
      </w:r>
    </w:p>
    <w:p>
      <w:pPr>
        <w:overflowPunct w:val="0"/>
        <w:ind w:firstLine="643"/>
        <w:outlineLvl w:val="2"/>
        <w:rPr>
          <w:rFonts w:ascii="楷体" w:hAnsi="楷体" w:eastAsia="楷体"/>
          <w:b w:val="0"/>
          <w:bCs/>
          <w:szCs w:val="24"/>
        </w:rPr>
      </w:pPr>
      <w:r>
        <w:rPr>
          <w:rFonts w:hint="eastAsia" w:ascii="楷体" w:hAnsi="楷体" w:eastAsia="楷体"/>
          <w:b w:val="0"/>
          <w:bCs/>
          <w:szCs w:val="24"/>
        </w:rPr>
        <w:t>（四）强化农村基层党组织建设激励保障</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加强党内激励关怀帮扶，健全村干部补贴和办公经费正常增长机制，健全以财政投入为主的稳定的村干部养老保险保障制度，保障农村基层组织规范运行；加大从优秀村干部中定向招录机关公务员、招聘事业单位人员和推荐担任各级“两代表一委员”力度，激发村干部干事创业的热情。</w:t>
      </w:r>
    </w:p>
    <w:p>
      <w:pPr>
        <w:overflowPunct w:val="0"/>
        <w:ind w:firstLine="643"/>
        <w:outlineLvl w:val="2"/>
        <w:rPr>
          <w:rFonts w:ascii="楷体" w:hAnsi="楷体" w:eastAsia="楷体"/>
          <w:b w:val="0"/>
          <w:bCs/>
          <w:szCs w:val="24"/>
        </w:rPr>
      </w:pPr>
      <w:r>
        <w:rPr>
          <w:rFonts w:hint="eastAsia" w:ascii="楷体" w:hAnsi="楷体" w:eastAsia="楷体"/>
          <w:b w:val="0"/>
          <w:bCs/>
          <w:szCs w:val="24"/>
        </w:rPr>
        <w:t>（五）强化农村基层党组织建设责任与保障</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加强农村基层党风廉政建设，强化农村基层干部和党员日常教育管理监督，推行村级事务“小微权力清单”制度，深化村级重大事项决策落实“54321”工作法,扎实推进村务、政务、党务公开工作，强化村级权力运行的监督。</w:t>
      </w:r>
    </w:p>
    <w:p>
      <w:pPr>
        <w:ind w:firstLine="640"/>
        <w:outlineLvl w:val="1"/>
        <w:rPr>
          <w:rFonts w:ascii="黑体" w:hAnsi="黑体" w:eastAsia="黑体"/>
          <w:b w:val="0"/>
          <w:bCs/>
        </w:rPr>
      </w:pPr>
      <w:bookmarkStart w:id="252" w:name="_Toc23289"/>
      <w:bookmarkStart w:id="253" w:name="_Toc18880"/>
      <w:bookmarkStart w:id="254" w:name="_Toc32060"/>
      <w:bookmarkStart w:id="255" w:name="_Toc8862"/>
      <w:r>
        <w:rPr>
          <w:rFonts w:hint="eastAsia" w:ascii="黑体" w:hAnsi="黑体" w:eastAsia="黑体"/>
          <w:b w:val="0"/>
          <w:bCs/>
        </w:rPr>
        <w:t>二、健全乡村治理体系</w:t>
      </w:r>
      <w:bookmarkEnd w:id="252"/>
      <w:bookmarkEnd w:id="253"/>
      <w:bookmarkEnd w:id="254"/>
      <w:bookmarkEnd w:id="255"/>
    </w:p>
    <w:p>
      <w:pPr>
        <w:overflowPunct w:val="0"/>
        <w:ind w:firstLine="643"/>
        <w:outlineLvl w:val="2"/>
        <w:rPr>
          <w:rFonts w:ascii="楷体" w:hAnsi="楷体" w:eastAsia="楷体"/>
          <w:b w:val="0"/>
          <w:bCs/>
          <w:szCs w:val="24"/>
        </w:rPr>
      </w:pPr>
      <w:r>
        <w:rPr>
          <w:rFonts w:hint="eastAsia" w:ascii="楷体" w:hAnsi="楷体" w:eastAsia="楷体"/>
          <w:b w:val="0"/>
          <w:bCs/>
          <w:szCs w:val="24"/>
        </w:rPr>
        <w:t>（一）开展乡村自治实践</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落实乡村共建共享共治要求，建立完善村民共建共享体系。依托村民会议、村民代表会议等，推动基层协商制度化、规范化和程序化建设，形成多层次协商格局。以镇综治中心为枢纽，建立健全村（社区）自治、调解、治保、便民服务等网格化组织，大力推进“网格化+信息化”社会治理模式，进一步提升综治信息系统、微信群、“钉钉”等信息化平台运用能力，充分发挥“五治”作用，形成基层自治合力。实施“阳光村务”工程，修订完善村务公开目录，丰富村务公开内容，规范村务公开程序，打通村级监督的“最后一公里”。</w:t>
      </w:r>
    </w:p>
    <w:p>
      <w:pPr>
        <w:overflowPunct w:val="0"/>
        <w:ind w:firstLine="643"/>
        <w:outlineLvl w:val="2"/>
        <w:rPr>
          <w:rFonts w:ascii="楷体" w:hAnsi="楷体" w:eastAsia="楷体"/>
          <w:b w:val="0"/>
          <w:bCs/>
          <w:szCs w:val="24"/>
        </w:rPr>
      </w:pPr>
      <w:r>
        <w:rPr>
          <w:rFonts w:hint="eastAsia" w:ascii="楷体" w:hAnsi="楷体" w:eastAsia="楷体"/>
          <w:b w:val="0"/>
          <w:bCs/>
          <w:szCs w:val="24"/>
        </w:rPr>
        <w:t>（二）提高基层法治水平</w:t>
      </w:r>
    </w:p>
    <w:p>
      <w:pPr>
        <w:spacing w:after="120" w:afterLines="5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深入开展“法律进乡村”“七五”普法、“以案说法”等宣传教育活动，针对土地征收、承包流转、产权改革、生态保护、社会救助等方面的突出问题，加大乡村公益法律服务。</w:t>
      </w:r>
      <w:r>
        <w:rPr>
          <w:rFonts w:ascii="仿宋_GB2312" w:hAnsi="仿宋_GB2312" w:eastAsia="仿宋_GB2312" w:cs="仿宋_GB2312"/>
          <w:b w:val="0"/>
          <w:bCs/>
          <w:szCs w:val="24"/>
        </w:rPr>
        <w:t>以联系服务群众“五个一”工作法为引领，整合力量深入开展入户走访排查、群众“微信群”实时管理、矛盾纠纷定期研判工作，及时主动掌握社情民意，把矛盾纠纷隐患化解在萌芽状态，严防“民转刑”案件发生。强化业务培训，培养一批“金牌调解员”、联系服务群众能手、优秀自治组织，妥善有效解决群众诉求。</w:t>
      </w:r>
      <w:r>
        <w:rPr>
          <w:rFonts w:hint="eastAsia" w:ascii="仿宋_GB2312" w:hAnsi="仿宋_GB2312" w:eastAsia="仿宋_GB2312" w:cs="仿宋_GB2312"/>
          <w:b w:val="0"/>
          <w:bCs/>
          <w:szCs w:val="24"/>
        </w:rPr>
        <w:t>更好发挥紫阳政法网平台作用，持续推进《有理大家说》《法之声》等内容更新，加大经典案例、法治童谣、法治书画等法治宣传，大力开展“民主法治示范村”创建、“法律明白人”培育工程，让法治观念深入人心。</w:t>
      </w:r>
    </w:p>
    <w:p>
      <w:pPr>
        <w:overflowPunct w:val="0"/>
        <w:ind w:firstLine="643"/>
        <w:outlineLvl w:val="2"/>
        <w:rPr>
          <w:rFonts w:ascii="楷体" w:hAnsi="楷体" w:eastAsia="楷体"/>
          <w:b w:val="0"/>
          <w:bCs/>
          <w:szCs w:val="24"/>
        </w:rPr>
      </w:pPr>
      <w:r>
        <w:rPr>
          <w:rFonts w:hint="eastAsia" w:ascii="楷体" w:hAnsi="楷体" w:eastAsia="楷体"/>
          <w:b w:val="0"/>
          <w:bCs/>
          <w:szCs w:val="24"/>
        </w:rPr>
        <w:t>（三）实施乡村德治工程</w:t>
      </w:r>
    </w:p>
    <w:p>
      <w:pPr>
        <w:pStyle w:val="8"/>
        <w:widowControl/>
        <w:spacing w:line="560" w:lineRule="exact"/>
        <w:ind w:left="0" w:firstLine="640" w:firstLineChars="200"/>
        <w:jc w:val="both"/>
        <w:rPr>
          <w:rFonts w:ascii="仿宋_GB2312" w:hAnsi="仿宋_GB2312" w:eastAsia="仿宋_GB2312" w:cs="仿宋_GB2312"/>
          <w:b w:val="0"/>
          <w:bCs/>
          <w:sz w:val="32"/>
          <w:szCs w:val="24"/>
        </w:rPr>
      </w:pPr>
      <w:r>
        <w:rPr>
          <w:rFonts w:hint="eastAsia" w:ascii="仿宋_GB2312" w:hAnsi="仿宋_GB2312" w:eastAsia="仿宋_GB2312" w:cs="仿宋_GB2312"/>
          <w:b w:val="0"/>
          <w:bCs/>
          <w:sz w:val="32"/>
          <w:szCs w:val="24"/>
        </w:rPr>
        <w:t>坚持德治为先，强化道德教化作用，引导农民向上向善、孝老爱亲、重义守信、勤俭持家。修订完善村民自治章程、村规民约，将喜事新办、丧事简办、弘扬孝道、尊老爱幼、扶残助残、和谐敦睦等纳入村规民约，灵活运用舆论及道德力量促进村规民约有效实施。大力弘扬优秀家风家训，组织开展“传家训、立家规、扬家风”活动。充分发挥模范榜样的示范带动作用，广泛开展好媳妇、好儿女、好公婆和寻找最美乡村教师、医生、村干部、家庭等评选表彰活动，推动形成崇德向善的文明乡风。</w:t>
      </w:r>
    </w:p>
    <w:p>
      <w:pPr>
        <w:pStyle w:val="8"/>
        <w:widowControl/>
        <w:spacing w:line="360" w:lineRule="auto"/>
        <w:ind w:left="0"/>
        <w:jc w:val="center"/>
        <w:rPr>
          <w:b w:val="0"/>
          <w:bCs/>
        </w:rPr>
      </w:pPr>
      <w:r>
        <w:rPr>
          <w:b w:val="0"/>
          <w:bCs/>
        </w:rPr>
        <w:drawing>
          <wp:inline distT="0" distB="0" distL="114300" distR="114300">
            <wp:extent cx="3736340" cy="3379470"/>
            <wp:effectExtent l="0" t="0" r="0" b="1143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40"/>
                    <a:stretch>
                      <a:fillRect/>
                    </a:stretch>
                  </pic:blipFill>
                  <pic:spPr>
                    <a:xfrm>
                      <a:off x="0" y="0"/>
                      <a:ext cx="3736340" cy="3379470"/>
                    </a:xfrm>
                    <a:prstGeom prst="rect">
                      <a:avLst/>
                    </a:prstGeom>
                    <a:noFill/>
                    <a:ln>
                      <a:noFill/>
                    </a:ln>
                  </pic:spPr>
                </pic:pic>
              </a:graphicData>
            </a:graphic>
          </wp:inline>
        </w:drawing>
      </w:r>
    </w:p>
    <w:p>
      <w:pPr>
        <w:overflowPunct w:val="0"/>
        <w:spacing w:line="360" w:lineRule="auto"/>
        <w:ind w:firstLine="0" w:firstLineChars="0"/>
        <w:jc w:val="center"/>
        <w:rPr>
          <w:rFonts w:cs="Times New Roman" w:asciiTheme="minorEastAsia" w:hAnsiTheme="minorEastAsia" w:eastAsiaTheme="minorEastAsia"/>
          <w:b w:val="0"/>
          <w:bCs/>
          <w:w w:val="90"/>
          <w:sz w:val="24"/>
          <w:szCs w:val="24"/>
        </w:rPr>
      </w:pPr>
      <w:r>
        <w:rPr>
          <w:rFonts w:eastAsia="宋体" w:cs="Times New Roman"/>
          <w:b w:val="0"/>
          <w:bCs/>
          <w:w w:val="90"/>
          <w:sz w:val="24"/>
          <w:szCs w:val="24"/>
        </w:rPr>
        <w:t xml:space="preserve">图8-1 </w:t>
      </w:r>
      <w:r>
        <w:rPr>
          <w:rFonts w:cs="Times New Roman" w:asciiTheme="minorEastAsia" w:hAnsiTheme="minorEastAsia" w:eastAsiaTheme="minorEastAsia"/>
          <w:b w:val="0"/>
          <w:bCs/>
          <w:w w:val="90"/>
          <w:sz w:val="24"/>
          <w:szCs w:val="24"/>
        </w:rPr>
        <w:t>“三治</w:t>
      </w:r>
      <w:r>
        <w:rPr>
          <w:rFonts w:hint="eastAsia" w:cs="Times New Roman" w:asciiTheme="minorEastAsia" w:hAnsiTheme="minorEastAsia" w:eastAsiaTheme="minorEastAsia"/>
          <w:b w:val="0"/>
          <w:bCs/>
          <w:w w:val="90"/>
          <w:sz w:val="24"/>
          <w:szCs w:val="24"/>
        </w:rPr>
        <w:t>合一</w:t>
      </w:r>
      <w:r>
        <w:rPr>
          <w:rFonts w:cs="Times New Roman" w:asciiTheme="minorEastAsia" w:hAnsiTheme="minorEastAsia" w:eastAsiaTheme="minorEastAsia"/>
          <w:b w:val="0"/>
          <w:bCs/>
          <w:w w:val="90"/>
          <w:sz w:val="24"/>
          <w:szCs w:val="24"/>
        </w:rPr>
        <w:t>”</w:t>
      </w:r>
      <w:r>
        <w:rPr>
          <w:rFonts w:hint="eastAsia" w:cs="Times New Roman" w:asciiTheme="minorEastAsia" w:hAnsiTheme="minorEastAsia" w:eastAsiaTheme="minorEastAsia"/>
          <w:b w:val="0"/>
          <w:bCs/>
          <w:w w:val="90"/>
          <w:sz w:val="24"/>
          <w:szCs w:val="24"/>
        </w:rPr>
        <w:t>乡村治理模式</w:t>
      </w:r>
    </w:p>
    <w:p>
      <w:pPr>
        <w:ind w:firstLine="640"/>
        <w:outlineLvl w:val="1"/>
        <w:rPr>
          <w:rFonts w:ascii="黑体" w:hAnsi="黑体" w:eastAsia="黑体"/>
          <w:b w:val="0"/>
          <w:bCs/>
        </w:rPr>
      </w:pPr>
      <w:bookmarkStart w:id="256" w:name="_Toc1204"/>
      <w:bookmarkStart w:id="257" w:name="_Toc3768"/>
      <w:bookmarkStart w:id="258" w:name="_Toc28244"/>
      <w:bookmarkStart w:id="259" w:name="_Toc5660"/>
      <w:r>
        <w:rPr>
          <w:rFonts w:hint="eastAsia" w:ascii="黑体" w:hAnsi="黑体" w:eastAsia="黑体"/>
          <w:b w:val="0"/>
          <w:bCs/>
        </w:rPr>
        <w:t>三、建设平安法治乡村</w:t>
      </w:r>
      <w:bookmarkEnd w:id="256"/>
      <w:bookmarkEnd w:id="257"/>
      <w:bookmarkEnd w:id="258"/>
      <w:bookmarkEnd w:id="259"/>
    </w:p>
    <w:p>
      <w:pPr>
        <w:spacing w:after="120" w:afterLines="50"/>
        <w:ind w:firstLine="640"/>
        <w:rPr>
          <w:b w:val="0"/>
          <w:bCs/>
          <w:szCs w:val="20"/>
        </w:rPr>
        <w:sectPr>
          <w:footerReference r:id="rId26" w:type="first"/>
          <w:footerReference r:id="rId25"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r>
        <w:rPr>
          <w:rFonts w:hint="eastAsia" w:ascii="仿宋_GB2312" w:hAnsi="仿宋_GB2312" w:eastAsia="仿宋_GB2312" w:cs="仿宋_GB2312"/>
          <w:b w:val="0"/>
          <w:bCs/>
          <w:szCs w:val="32"/>
          <w:lang w:bidi="ar"/>
        </w:rPr>
        <w:t>深入开展“十个没有”平安乡村创建活动，完善农村治安防控体系，深入开展扫黑除恶专项斗争，严厉打击村霸和黑恶宗族势力，严厉惩治各类违法犯罪活动，依法处置非访、聚众闹访等违法行为，促进社会和谐稳定。完善县镇村三级综治中心功能和运行机制，推进镇级和村级综治维稳中心全覆盖。健全农村公共安全体系，推行“一村一辅警”机制，开展智慧农村警务室建设。持续开展农村治安隐患排查治理和矛盾纠纷排查化解，加强农村警务、消防、安全生产工作，推动社会治安立体化防控体系建设，坚决遏制重大治安灾害和安全生产事故。</w:t>
      </w:r>
      <w:r>
        <w:rPr>
          <w:rFonts w:hint="eastAsia" w:ascii="仿宋_GB2312" w:hAnsi="仿宋_GB2312" w:eastAsia="仿宋_GB2312" w:cs="仿宋_GB2312"/>
          <w:b w:val="0"/>
          <w:bCs/>
          <w:szCs w:val="20"/>
        </w:rPr>
        <w:t>按照“网格化+信息化”社会治理模式，实现基层服务和管理精准化，创建一批平安乡镇、平安村（社区）</w:t>
      </w:r>
      <w:r>
        <w:rPr>
          <w:rFonts w:asciiTheme="minorHAnsi" w:hAnsiTheme="minorHAnsi" w:eastAsiaTheme="minorEastAsia"/>
          <w:b w:val="0"/>
          <w:bCs/>
          <w:szCs w:val="20"/>
        </w:rPr>
        <w:t>。</w:t>
      </w:r>
    </w:p>
    <w:tbl>
      <w:tblPr>
        <w:tblStyle w:val="16"/>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83" w:type="dxa"/>
            <w:shd w:val="clear" w:color="auto" w:fill="D0CECE" w:themeFill="background2" w:themeFillShade="E6"/>
            <w:vAlign w:val="center"/>
          </w:tcPr>
          <w:p>
            <w:pPr>
              <w:widowControl/>
              <w:spacing w:line="240" w:lineRule="auto"/>
              <w:ind w:firstLine="420" w:firstLineChars="0"/>
              <w:jc w:val="center"/>
              <w:textAlignment w:val="center"/>
              <w:rPr>
                <w:rFonts w:hint="eastAsia" w:ascii="宋体" w:hAnsi="宋体" w:cs="宋体" w:eastAsiaTheme="minorEastAsia"/>
                <w:b w:val="0"/>
                <w:bCs/>
                <w:w w:val="90"/>
                <w:kern w:val="0"/>
                <w:sz w:val="24"/>
                <w:szCs w:val="20"/>
              </w:rPr>
            </w:pPr>
            <w:r>
              <w:rPr>
                <w:rFonts w:hint="eastAsia" w:ascii="宋体" w:hAnsi="宋体" w:cs="宋体" w:eastAsiaTheme="minorEastAsia"/>
                <w:b w:val="0"/>
                <w:bCs/>
                <w:w w:val="90"/>
                <w:kern w:val="0"/>
                <w:sz w:val="24"/>
                <w:szCs w:val="20"/>
              </w:rPr>
              <w:t>专栏10 强基固本行动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83" w:type="dxa"/>
            <w:vAlign w:val="center"/>
          </w:tcPr>
          <w:p>
            <w:pPr>
              <w:widowControl/>
              <w:spacing w:line="240" w:lineRule="auto"/>
              <w:ind w:firstLine="437"/>
              <w:textAlignment w:val="center"/>
              <w:rPr>
                <w:rFonts w:eastAsia="宋体" w:cs="Times New Roman"/>
                <w:b w:val="0"/>
                <w:bCs/>
                <w:w w:val="90"/>
                <w:kern w:val="0"/>
                <w:sz w:val="24"/>
                <w:szCs w:val="20"/>
              </w:rPr>
            </w:pPr>
            <w:r>
              <w:rPr>
                <w:rFonts w:hint="eastAsia" w:ascii="宋体" w:hAnsi="宋体" w:eastAsia="宋体" w:cs="宋体"/>
                <w:b w:val="0"/>
                <w:bCs/>
                <w:w w:val="90"/>
                <w:kern w:val="0"/>
                <w:sz w:val="24"/>
                <w:szCs w:val="20"/>
              </w:rPr>
              <w:t>村党组织标准化提升行动：按照《基层党组织标准化建设标准》提升村级党组织建设水平。</w:t>
            </w:r>
            <w:r>
              <w:rPr>
                <w:rFonts w:eastAsia="宋体" w:cs="Times New Roman"/>
                <w:b w:val="0"/>
                <w:bCs/>
                <w:w w:val="90"/>
                <w:kern w:val="0"/>
                <w:sz w:val="24"/>
                <w:szCs w:val="20"/>
              </w:rPr>
              <w:t>到202</w:t>
            </w:r>
            <w:r>
              <w:rPr>
                <w:rFonts w:hint="eastAsia" w:eastAsia="宋体" w:cs="Times New Roman"/>
                <w:b w:val="0"/>
                <w:bCs/>
                <w:w w:val="90"/>
                <w:kern w:val="0"/>
                <w:sz w:val="24"/>
                <w:szCs w:val="20"/>
              </w:rPr>
              <w:t>3</w:t>
            </w:r>
            <w:r>
              <w:rPr>
                <w:rFonts w:eastAsia="宋体" w:cs="Times New Roman"/>
                <w:b w:val="0"/>
                <w:bCs/>
                <w:w w:val="90"/>
                <w:kern w:val="0"/>
                <w:sz w:val="24"/>
                <w:szCs w:val="20"/>
              </w:rPr>
              <w:t>年，全县创建50个市级村党组织</w:t>
            </w:r>
            <w:r>
              <w:rPr>
                <w:rFonts w:hint="eastAsia" w:eastAsia="宋体" w:cs="Times New Roman"/>
                <w:b w:val="0"/>
                <w:bCs/>
                <w:w w:val="90"/>
                <w:kern w:val="0"/>
                <w:sz w:val="24"/>
                <w:szCs w:val="20"/>
              </w:rPr>
              <w:t>建设标准</w:t>
            </w:r>
            <w:r>
              <w:rPr>
                <w:rFonts w:eastAsia="宋体" w:cs="Times New Roman"/>
                <w:b w:val="0"/>
                <w:bCs/>
                <w:w w:val="90"/>
                <w:kern w:val="0"/>
                <w:sz w:val="24"/>
                <w:szCs w:val="20"/>
              </w:rPr>
              <w:t>示范村，100个县级村党组织建设标准示范村，打造100个乡村组织振兴样板村。</w:t>
            </w:r>
          </w:p>
          <w:p>
            <w:pPr>
              <w:widowControl/>
              <w:spacing w:line="240" w:lineRule="auto"/>
              <w:ind w:firstLine="437"/>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一动五员三保”行动：引导党员干部主动到百姓中寻找问题，调动干部积极性，有效衔接群众需求；由村组党员组成的组织员、网格员、帮代办员、调解员和志愿队员，推动“五大员”变成“五大援”；以树立党组织典范、实现榜样引领的“保鲜膜”，以自我体检结合外部分诊、推动规范整改的“保健卡”，以巡视巡察、规范整改、防微杜渐为方式目标的“保险丝”，发挥党组织振兴先锋作用。</w:t>
            </w:r>
          </w:p>
          <w:p>
            <w:pPr>
              <w:spacing w:line="240" w:lineRule="auto"/>
              <w:ind w:firstLine="437"/>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立体化治安防控行动：推进农村社会治安防控体系和“雪亮工程”建设，实现“空中有监控、地面有巡逻、重点部位有技防”的防控网络。</w:t>
            </w:r>
            <w:r>
              <w:rPr>
                <w:rFonts w:ascii="宋体" w:hAnsi="宋体" w:eastAsia="宋体" w:cs="宋体"/>
                <w:b w:val="0"/>
                <w:bCs/>
                <w:w w:val="90"/>
                <w:kern w:val="0"/>
                <w:sz w:val="24"/>
                <w:szCs w:val="20"/>
              </w:rPr>
              <w:t>到202</w:t>
            </w:r>
            <w:r>
              <w:rPr>
                <w:rFonts w:hint="eastAsia" w:ascii="宋体" w:hAnsi="宋体" w:eastAsia="宋体" w:cs="宋体"/>
                <w:b w:val="0"/>
                <w:bCs/>
                <w:w w:val="90"/>
                <w:kern w:val="0"/>
                <w:sz w:val="24"/>
                <w:szCs w:val="20"/>
              </w:rPr>
              <w:t>3</w:t>
            </w:r>
            <w:r>
              <w:rPr>
                <w:rFonts w:ascii="宋体" w:hAnsi="宋体" w:eastAsia="宋体" w:cs="宋体"/>
                <w:b w:val="0"/>
                <w:bCs/>
                <w:w w:val="90"/>
                <w:kern w:val="0"/>
                <w:sz w:val="24"/>
                <w:szCs w:val="20"/>
              </w:rPr>
              <w:t>年，每个镇政府所在地及重要部位监控设施实现全覆盖。</w:t>
            </w:r>
          </w:p>
          <w:p>
            <w:pPr>
              <w:widowControl/>
              <w:spacing w:line="240" w:lineRule="auto"/>
              <w:ind w:firstLine="437"/>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“十个没有”乡村创建行动</w:t>
            </w:r>
            <w:r>
              <w:rPr>
                <w:rFonts w:hint="eastAsia" w:eastAsia="宋体" w:cs="Times New Roman"/>
                <w:b w:val="0"/>
                <w:bCs/>
                <w:szCs w:val="32"/>
                <w:lang w:bidi="ar"/>
              </w:rPr>
              <w:t>：</w:t>
            </w:r>
            <w:r>
              <w:rPr>
                <w:rFonts w:hint="eastAsia" w:ascii="宋体" w:hAnsi="宋体" w:eastAsia="宋体" w:cs="宋体"/>
                <w:b w:val="0"/>
                <w:bCs/>
                <w:w w:val="90"/>
                <w:kern w:val="0"/>
                <w:sz w:val="24"/>
                <w:szCs w:val="20"/>
              </w:rPr>
              <w:t xml:space="preserve">创建没有黑恶势力、没有偷盗失窃、没有黄赌毒、没有封建迷信和邪教传播、没有聚众打架斗殴、没有乱砍乱建乱挖、没有重大矛盾纠纷、没有非正常上访和群体性上访、没有村干部违法违纪、没有重大刑事和治安案件的平安乡村。          </w:t>
            </w:r>
          </w:p>
          <w:p>
            <w:pPr>
              <w:spacing w:line="240" w:lineRule="auto"/>
              <w:ind w:firstLine="437"/>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智慧村庄建设行动：以信息基础设施高速化、农村公共服务便利化、村镇治理信息化为重点，建设智慧村庄综合管理服务平台。根据信息进村入户要求，分类建设简易型、标准型、专业型村级信息服务站和信息平台，推进为农综合信息服务站和信息平台功能拓展和服务延伸，围绕农村居民生产、生活的实际需求，推动农产品电商、乡村旅游和农家乐互动等平台建设。</w:t>
            </w:r>
          </w:p>
        </w:tc>
      </w:tr>
    </w:tbl>
    <w:p>
      <w:pPr>
        <w:spacing w:before="240" w:beforeLines="100" w:after="120" w:afterLines="50" w:line="360" w:lineRule="auto"/>
        <w:ind w:firstLine="640"/>
        <w:rPr>
          <w:rFonts w:ascii="黑体" w:hAnsi="黑体" w:eastAsia="黑体"/>
          <w:b w:val="0"/>
          <w:bCs/>
          <w:szCs w:val="32"/>
        </w:rPr>
        <w:sectPr>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260" w:name="_Toc10170"/>
      <w:bookmarkStart w:id="261" w:name="_Toc16380"/>
      <w:bookmarkStart w:id="262" w:name="_Toc7922"/>
      <w:r>
        <w:rPr>
          <w:rFonts w:hint="eastAsia" w:ascii="黑体" w:hAnsi="黑体" w:eastAsia="黑体"/>
          <w:b w:val="0"/>
          <w:bCs/>
          <w:szCs w:val="32"/>
        </w:rPr>
        <w:t>第九章 推动人才振兴 夯实乡村振兴智力支撑</w:t>
      </w:r>
      <w:bookmarkEnd w:id="260"/>
      <w:bookmarkEnd w:id="261"/>
      <w:bookmarkEnd w:id="262"/>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坚持把人力资源开发放在首要位置，畅通智力、技术、管理下乡通道，实行更加积极、开放、有效的人才政策，激发人才要素活力，大力培养乡土人才，鼓励和引导各类人才投身乡村振兴。</w:t>
      </w:r>
    </w:p>
    <w:p>
      <w:pPr>
        <w:ind w:firstLine="640"/>
        <w:outlineLvl w:val="1"/>
        <w:rPr>
          <w:rFonts w:ascii="黑体" w:hAnsi="黑体" w:eastAsia="黑体"/>
          <w:b w:val="0"/>
          <w:bCs/>
        </w:rPr>
      </w:pPr>
      <w:bookmarkStart w:id="263" w:name="_Toc8235"/>
      <w:r>
        <w:rPr>
          <w:rFonts w:hint="eastAsia" w:ascii="黑体" w:hAnsi="黑体" w:eastAsia="黑体"/>
          <w:b w:val="0"/>
          <w:bCs/>
        </w:rPr>
        <w:t>一、壮大紫阳人才队伍</w:t>
      </w:r>
      <w:bookmarkEnd w:id="263"/>
    </w:p>
    <w:p>
      <w:pPr>
        <w:widowControl/>
        <w:overflowPunct w:val="0"/>
        <w:ind w:firstLine="643"/>
        <w:outlineLvl w:val="2"/>
        <w:rPr>
          <w:rFonts w:hint="eastAsia" w:ascii="楷体" w:hAnsi="楷体" w:eastAsia="楷体"/>
          <w:b w:val="0"/>
          <w:bCs/>
          <w:szCs w:val="24"/>
          <w:lang w:eastAsia="zh-CN"/>
        </w:rPr>
      </w:pPr>
      <w:r>
        <w:rPr>
          <w:rFonts w:hint="eastAsia" w:ascii="楷体" w:hAnsi="楷体" w:eastAsia="楷体"/>
          <w:b w:val="0"/>
          <w:bCs/>
          <w:szCs w:val="24"/>
        </w:rPr>
        <w:t>（一）大力</w:t>
      </w:r>
      <w:r>
        <w:rPr>
          <w:rFonts w:hint="eastAsia" w:ascii="楷体" w:hAnsi="楷体" w:eastAsia="楷体"/>
          <w:b w:val="0"/>
          <w:bCs/>
          <w:szCs w:val="24"/>
          <w:lang w:eastAsia="zh-CN"/>
        </w:rPr>
        <w:t>培育高素质农民</w:t>
      </w:r>
    </w:p>
    <w:p>
      <w:pPr>
        <w:overflowPunct w:val="0"/>
        <w:ind w:left="0" w:leftChars="0" w:firstLine="640" w:firstLineChars="200"/>
        <w:rPr>
          <w:rFonts w:hint="eastAsia" w:ascii="仿宋_GB2312" w:hAnsi="仿宋_GB2312" w:eastAsia="仿宋_GB2312" w:cs="仿宋_GB2312"/>
          <w:b w:val="0"/>
          <w:bCs/>
          <w:szCs w:val="24"/>
        </w:rPr>
      </w:pPr>
      <w:r>
        <w:rPr>
          <w:rFonts w:hint="eastAsia" w:ascii="仿宋_GB2312" w:hAnsi="仿宋_GB2312" w:eastAsia="仿宋_GB2312" w:cs="仿宋_GB2312"/>
          <w:b w:val="0"/>
          <w:bCs/>
          <w:szCs w:val="24"/>
        </w:rPr>
        <w:t>实施</w:t>
      </w:r>
      <w:r>
        <w:rPr>
          <w:rFonts w:hint="eastAsia" w:ascii="仿宋_GB2312" w:hAnsi="仿宋_GB2312" w:eastAsia="仿宋_GB2312" w:cs="仿宋_GB2312"/>
          <w:b w:val="0"/>
          <w:bCs/>
          <w:szCs w:val="24"/>
          <w:lang w:eastAsia="zh-CN"/>
        </w:rPr>
        <w:t>高素质</w:t>
      </w:r>
      <w:r>
        <w:rPr>
          <w:rFonts w:hint="eastAsia" w:ascii="仿宋_GB2312" w:hAnsi="仿宋_GB2312" w:eastAsia="仿宋_GB2312" w:cs="仿宋_GB2312"/>
          <w:b w:val="0"/>
          <w:bCs/>
          <w:szCs w:val="24"/>
        </w:rPr>
        <w:t>农民培育工程，紧扣“1+5+X”农业产业发展需求，结合农村新产业、新模式、新业态，培育一批“有文化、懂技术、善经营、会管理”的高素质农民，打造农村产业发展中坚力量。到2023年，实现农村劳动力技能培训全覆盖，每个家庭至少有1人掌握1-2门农业致富技能。</w:t>
      </w:r>
    </w:p>
    <w:p>
      <w:pPr>
        <w:overflowPunct w:val="0"/>
        <w:ind w:left="0" w:leftChars="0" w:firstLine="640" w:firstLineChars="200"/>
        <w:rPr>
          <w:rFonts w:hint="eastAsia" w:ascii="仿宋_GB2312" w:hAnsi="仿宋_GB2312" w:eastAsia="仿宋_GB2312" w:cs="仿宋_GB2312"/>
          <w:b w:val="0"/>
          <w:bCs/>
          <w:szCs w:val="24"/>
        </w:rPr>
      </w:pPr>
      <w:r>
        <w:rPr>
          <w:rFonts w:hint="eastAsia" w:ascii="仿宋_GB2312" w:hAnsi="仿宋_GB2312" w:eastAsia="仿宋_GB2312" w:cs="仿宋_GB2312"/>
          <w:b w:val="0"/>
          <w:bCs/>
          <w:szCs w:val="24"/>
        </w:rPr>
        <w:t>整合“劳动就业”、教育“人人培训”、农业“雨露计划”</w:t>
      </w:r>
      <w:r>
        <w:rPr>
          <w:rFonts w:hint="eastAsia" w:ascii="仿宋_GB2312" w:hAnsi="仿宋_GB2312" w:eastAsia="仿宋_GB2312" w:cs="仿宋_GB2312"/>
          <w:b w:val="0"/>
          <w:bCs/>
          <w:szCs w:val="24"/>
          <w:lang w:eastAsia="zh-CN"/>
        </w:rPr>
        <w:t>等</w:t>
      </w:r>
      <w:r>
        <w:rPr>
          <w:rFonts w:hint="eastAsia" w:ascii="仿宋_GB2312" w:hAnsi="仿宋_GB2312" w:eastAsia="仿宋_GB2312" w:cs="仿宋_GB2312"/>
          <w:b w:val="0"/>
          <w:bCs/>
          <w:szCs w:val="24"/>
        </w:rPr>
        <w:t>培训资源</w:t>
      </w:r>
      <w:r>
        <w:rPr>
          <w:rFonts w:hint="eastAsia" w:ascii="仿宋_GB2312" w:hAnsi="仿宋_GB2312" w:eastAsia="仿宋_GB2312" w:cs="仿宋_GB2312"/>
          <w:b w:val="0"/>
          <w:bCs/>
          <w:szCs w:val="24"/>
          <w:lang w:eastAsia="zh-CN"/>
        </w:rPr>
        <w:t>。</w:t>
      </w:r>
      <w:r>
        <w:rPr>
          <w:rFonts w:hint="eastAsia" w:ascii="仿宋_GB2312" w:hAnsi="仿宋_GB2312" w:eastAsia="仿宋_GB2312" w:cs="仿宋_GB2312"/>
          <w:b w:val="0"/>
          <w:bCs/>
          <w:szCs w:val="24"/>
        </w:rPr>
        <w:t>通过内培外聘，选聘“</w:t>
      </w:r>
      <w:r>
        <w:rPr>
          <w:rFonts w:hint="eastAsia" w:ascii="仿宋_GB2312" w:hAnsi="仿宋_GB2312" w:eastAsia="仿宋_GB2312" w:cs="仿宋_GB2312"/>
          <w:b w:val="0"/>
          <w:bCs/>
          <w:szCs w:val="24"/>
          <w:lang w:eastAsia="zh-CN"/>
        </w:rPr>
        <w:t>产业</w:t>
      </w:r>
      <w:r>
        <w:rPr>
          <w:rFonts w:hint="eastAsia" w:ascii="仿宋_GB2312" w:hAnsi="仿宋_GB2312" w:eastAsia="仿宋_GB2312" w:cs="仿宋_GB2312"/>
          <w:b w:val="0"/>
          <w:bCs/>
          <w:szCs w:val="24"/>
        </w:rPr>
        <w:t>名师”“行家里手”“乡土专家”和“致富能人”，建成培育师资库</w:t>
      </w:r>
      <w:r>
        <w:rPr>
          <w:rFonts w:hint="eastAsia" w:ascii="仿宋_GB2312" w:hAnsi="仿宋_GB2312" w:eastAsia="仿宋_GB2312" w:cs="仿宋_GB2312"/>
          <w:b w:val="0"/>
          <w:bCs/>
          <w:szCs w:val="24"/>
          <w:lang w:eastAsia="zh-CN"/>
        </w:rPr>
        <w:t>，大力</w:t>
      </w:r>
      <w:r>
        <w:rPr>
          <w:rFonts w:hint="eastAsia" w:ascii="仿宋_GB2312" w:hAnsi="仿宋_GB2312" w:eastAsia="仿宋_GB2312" w:cs="仿宋_GB2312"/>
          <w:b w:val="0"/>
          <w:bCs/>
          <w:szCs w:val="24"/>
        </w:rPr>
        <w:t>开展农村实用技术培训</w:t>
      </w:r>
      <w:r>
        <w:rPr>
          <w:rFonts w:hint="eastAsia" w:ascii="仿宋_GB2312" w:hAnsi="仿宋_GB2312" w:eastAsia="仿宋_GB2312" w:cs="仿宋_GB2312"/>
          <w:b w:val="0"/>
          <w:bCs/>
          <w:szCs w:val="24"/>
          <w:lang w:eastAsia="zh-CN"/>
        </w:rPr>
        <w:t>。充分</w:t>
      </w:r>
      <w:r>
        <w:rPr>
          <w:rFonts w:hint="eastAsia" w:ascii="仿宋_GB2312" w:hAnsi="仿宋_GB2312" w:eastAsia="仿宋_GB2312" w:cs="仿宋_GB2312"/>
          <w:b w:val="0"/>
          <w:bCs/>
          <w:szCs w:val="24"/>
        </w:rPr>
        <w:t>应用远程教育、网络教育等方式，为农民提供灵活便捷的在线教育培训、移动互联服务和全程跟踪指导</w:t>
      </w:r>
      <w:r>
        <w:rPr>
          <w:rFonts w:hint="eastAsia" w:ascii="仿宋_GB2312" w:hAnsi="仿宋_GB2312" w:eastAsia="仿宋_GB2312" w:cs="仿宋_GB2312"/>
          <w:b w:val="0"/>
          <w:bCs/>
          <w:szCs w:val="24"/>
          <w:lang w:eastAsia="zh-CN"/>
        </w:rPr>
        <w:t>。</w:t>
      </w:r>
      <w:r>
        <w:rPr>
          <w:rFonts w:hint="eastAsia" w:ascii="仿宋_GB2312" w:hAnsi="仿宋_GB2312" w:eastAsia="仿宋_GB2312" w:cs="仿宋_GB2312"/>
          <w:b w:val="0"/>
          <w:bCs/>
          <w:szCs w:val="24"/>
        </w:rPr>
        <w:t>到2023年，全县新增农村专业</w:t>
      </w:r>
      <w:r>
        <w:rPr>
          <w:rFonts w:hint="eastAsia" w:ascii="仿宋_GB2312" w:hAnsi="仿宋_GB2312" w:eastAsia="仿宋_GB2312" w:cs="仿宋_GB2312"/>
          <w:b w:val="0"/>
          <w:bCs/>
          <w:szCs w:val="24"/>
          <w:lang w:eastAsia="zh-CN"/>
        </w:rPr>
        <w:t>技术</w:t>
      </w:r>
      <w:r>
        <w:rPr>
          <w:rFonts w:hint="eastAsia" w:ascii="仿宋_GB2312" w:hAnsi="仿宋_GB2312" w:eastAsia="仿宋_GB2312" w:cs="仿宋_GB2312"/>
          <w:b w:val="0"/>
          <w:bCs/>
          <w:szCs w:val="24"/>
        </w:rPr>
        <w:t>人才1000人以上。</w:t>
      </w:r>
    </w:p>
    <w:p>
      <w:pPr>
        <w:overflowPunct w:val="0"/>
        <w:ind w:left="0" w:leftChars="0" w:firstLine="640" w:firstLineChars="200"/>
        <w:rPr>
          <w:rFonts w:hint="eastAsia" w:ascii="仿宋_GB2312" w:hAnsi="仿宋_GB2312" w:eastAsia="仿宋_GB2312" w:cs="仿宋_GB2312"/>
          <w:b w:val="0"/>
          <w:bCs/>
          <w:szCs w:val="24"/>
        </w:rPr>
      </w:pPr>
      <w:r>
        <w:rPr>
          <w:rFonts w:hint="eastAsia" w:ascii="仿宋_GB2312" w:hAnsi="仿宋_GB2312" w:eastAsia="仿宋_GB2312" w:cs="仿宋_GB2312"/>
          <w:b w:val="0"/>
          <w:bCs/>
          <w:szCs w:val="24"/>
        </w:rPr>
        <w:t>发挥农业科技人才和科技特派员优势，围绕技术岗位要求，着力培养农民的职业素养、生产技能和新技术应用能力，夯实高素质农民的技能基础。围绕</w:t>
      </w:r>
      <w:r>
        <w:rPr>
          <w:rFonts w:hint="eastAsia" w:ascii="仿宋_GB2312" w:hAnsi="仿宋_GB2312" w:eastAsia="仿宋_GB2312" w:cs="仿宋_GB2312"/>
          <w:b w:val="0"/>
          <w:bCs/>
          <w:szCs w:val="24"/>
          <w:lang w:eastAsia="zh-CN"/>
        </w:rPr>
        <w:t>农业园区</w:t>
      </w:r>
      <w:r>
        <w:rPr>
          <w:rFonts w:hint="eastAsia" w:ascii="仿宋_GB2312" w:hAnsi="仿宋_GB2312" w:eastAsia="仿宋_GB2312" w:cs="仿宋_GB2312"/>
          <w:b w:val="0"/>
          <w:bCs/>
          <w:szCs w:val="24"/>
        </w:rPr>
        <w:t>发展要求，加强经营管理能力及双创能力</w:t>
      </w:r>
      <w:r>
        <w:rPr>
          <w:rFonts w:hint="eastAsia" w:ascii="仿宋_GB2312" w:hAnsi="仿宋_GB2312" w:eastAsia="仿宋_GB2312" w:cs="仿宋_GB2312"/>
          <w:b w:val="0"/>
          <w:bCs/>
          <w:szCs w:val="24"/>
          <w:lang w:eastAsia="zh-CN"/>
        </w:rPr>
        <w:t>培训</w:t>
      </w:r>
      <w:r>
        <w:rPr>
          <w:rFonts w:hint="eastAsia" w:ascii="仿宋_GB2312" w:hAnsi="仿宋_GB2312" w:eastAsia="仿宋_GB2312" w:cs="仿宋_GB2312"/>
          <w:b w:val="0"/>
          <w:bCs/>
          <w:szCs w:val="24"/>
        </w:rPr>
        <w:t>，大力提升农民的产业发展水平和创新创业能力。围绕带动农民增收致富</w:t>
      </w:r>
      <w:r>
        <w:rPr>
          <w:rFonts w:hint="eastAsia" w:ascii="仿宋_GB2312" w:hAnsi="仿宋_GB2312" w:eastAsia="仿宋_GB2312" w:cs="仿宋_GB2312"/>
          <w:b w:val="0"/>
          <w:bCs/>
          <w:szCs w:val="24"/>
          <w:lang w:eastAsia="zh-CN"/>
        </w:rPr>
        <w:t>需求</w:t>
      </w:r>
      <w:r>
        <w:rPr>
          <w:rFonts w:hint="eastAsia" w:ascii="仿宋_GB2312" w:hAnsi="仿宋_GB2312" w:eastAsia="仿宋_GB2312" w:cs="仿宋_GB2312"/>
          <w:b w:val="0"/>
          <w:bCs/>
          <w:szCs w:val="24"/>
        </w:rPr>
        <w:t>，培育农民引导技术传承、引领产业发展、带动农民致富的示范带动能力。每年培养农业科研杰出人才20人。</w:t>
      </w:r>
    </w:p>
    <w:p>
      <w:pPr>
        <w:overflowPunct w:val="0"/>
        <w:ind w:firstLine="640"/>
        <w:rPr>
          <w:rFonts w:hint="eastAsia" w:ascii="仿宋_GB2312" w:hAnsi="仿宋_GB2312" w:eastAsia="仿宋_GB2312" w:cs="仿宋_GB2312"/>
          <w:b w:val="0"/>
          <w:bCs/>
          <w:color w:val="FF0000"/>
          <w:szCs w:val="24"/>
        </w:rPr>
      </w:pPr>
    </w:p>
    <w:tbl>
      <w:tblPr>
        <w:tblStyle w:val="16"/>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551" w:type="dxa"/>
            <w:shd w:val="clear" w:color="auto" w:fill="D8D8D8" w:themeFill="background1" w:themeFillShade="D9"/>
            <w:vAlign w:val="center"/>
          </w:tcPr>
          <w:p>
            <w:pPr>
              <w:widowControl/>
              <w:spacing w:line="240" w:lineRule="auto"/>
              <w:ind w:firstLine="420" w:firstLineChars="0"/>
              <w:jc w:val="center"/>
              <w:textAlignment w:val="center"/>
              <w:rPr>
                <w:rFonts w:hint="eastAsia" w:ascii="宋体" w:hAnsi="宋体" w:cs="宋体" w:eastAsiaTheme="minorEastAsia"/>
                <w:b w:val="0"/>
                <w:bCs/>
                <w:w w:val="90"/>
                <w:kern w:val="0"/>
                <w:sz w:val="24"/>
                <w:szCs w:val="20"/>
              </w:rPr>
            </w:pPr>
            <w:r>
              <w:rPr>
                <w:rFonts w:hint="eastAsia" w:ascii="宋体" w:hAnsi="宋体" w:cs="宋体" w:eastAsiaTheme="minorEastAsia"/>
                <w:b w:val="0"/>
                <w:bCs/>
                <w:w w:val="90"/>
                <w:kern w:val="0"/>
                <w:sz w:val="24"/>
                <w:szCs w:val="20"/>
              </w:rPr>
              <w:t>专栏11 高素质农民培育工程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1" w:type="dxa"/>
          </w:tcPr>
          <w:p>
            <w:pPr>
              <w:widowControl/>
              <w:spacing w:line="240" w:lineRule="auto"/>
              <w:ind w:firstLine="437"/>
              <w:textAlignment w:val="center"/>
              <w:rPr>
                <w:rFonts w:hint="eastAsia" w:ascii="宋体" w:hAnsi="宋体" w:eastAsia="宋体" w:cs="宋体"/>
                <w:b w:val="0"/>
                <w:bCs/>
                <w:w w:val="90"/>
                <w:kern w:val="0"/>
                <w:sz w:val="24"/>
                <w:szCs w:val="20"/>
              </w:rPr>
            </w:pPr>
            <w:r>
              <w:rPr>
                <w:rFonts w:hint="eastAsia" w:ascii="宋体" w:hAnsi="宋体" w:eastAsia="宋体" w:cs="宋体"/>
                <w:b w:val="0"/>
                <w:bCs/>
                <w:w w:val="90"/>
                <w:kern w:val="0"/>
                <w:sz w:val="24"/>
                <w:szCs w:val="20"/>
              </w:rPr>
              <w:t>多元化人才培育工程：优化实施“青年农场主培养计划”“农业职业经理人CEO计划”“农业产业化龙头企业人才支撑计划”等，培育一批懂经营、会管理的农业发展人才；重点培育种养殖技术能人、动物防疫员、植保病虫害统防统治员、农村信息员、农产品质量安全检测员、肥料配方师等专业技能人才，培育一批农村工匠、技术能人；以农业产前、产中、产后服务供给和农旅融合发展为核心内容，培育一批从事农资服务、农产品流通服务、农产品质量安全服务、农产品智能化生产服务、金融保险服务等专业性服务人才。</w:t>
            </w:r>
          </w:p>
          <w:p>
            <w:pPr>
              <w:widowControl/>
              <w:spacing w:line="240" w:lineRule="auto"/>
              <w:ind w:firstLine="437"/>
              <w:textAlignment w:val="center"/>
              <w:rPr>
                <w:rFonts w:eastAsia="仿宋_GB2312" w:cs="Times New Roman"/>
                <w:b w:val="0"/>
                <w:bCs/>
                <w:color w:val="FF0000"/>
                <w:w w:val="90"/>
                <w:sz w:val="24"/>
                <w:szCs w:val="24"/>
              </w:rPr>
            </w:pPr>
            <w:r>
              <w:rPr>
                <w:rFonts w:hint="eastAsia" w:ascii="宋体" w:hAnsi="宋体" w:eastAsia="宋体" w:cs="宋体"/>
                <w:b w:val="0"/>
                <w:bCs/>
                <w:w w:val="90"/>
                <w:kern w:val="0"/>
                <w:sz w:val="24"/>
                <w:szCs w:val="20"/>
              </w:rPr>
              <w:t>农民职业素养提升工程：采取多样化培训方式，加大农村农业政策法规、农业创业发展和职业素养、产业融合等内容培训，提高教育培养的系统性、科学性。</w:t>
            </w:r>
          </w:p>
        </w:tc>
      </w:tr>
    </w:tbl>
    <w:p>
      <w:pPr>
        <w:overflowPunct w:val="0"/>
        <w:ind w:left="0" w:leftChars="0" w:firstLine="0" w:firstLineChars="0"/>
        <w:rPr>
          <w:rFonts w:hint="eastAsia" w:ascii="仿宋_GB2312" w:hAnsi="仿宋_GB2312" w:eastAsia="仿宋_GB2312" w:cs="仿宋_GB2312"/>
          <w:b w:val="0"/>
          <w:bCs/>
          <w:szCs w:val="24"/>
        </w:rPr>
      </w:pPr>
      <w:r>
        <w:rPr>
          <w:rFonts w:hint="eastAsia" w:ascii="仿宋_GB2312" w:hAnsi="仿宋_GB2312" w:eastAsia="仿宋_GB2312" w:cs="仿宋_GB2312"/>
          <w:b w:val="0"/>
          <w:bCs/>
          <w:color w:val="FF0000"/>
          <w:szCs w:val="24"/>
          <w:lang w:eastAsia="zh-CN"/>
        </w:rPr>
        <w:t>　　</w:t>
      </w:r>
      <w:r>
        <w:rPr>
          <w:rFonts w:hint="eastAsia" w:ascii="仿宋_GB2312" w:hAnsi="仿宋_GB2312" w:eastAsia="仿宋_GB2312" w:cs="仿宋_GB2312"/>
          <w:b w:val="0"/>
          <w:bCs/>
          <w:szCs w:val="24"/>
        </w:rPr>
        <w:t>依托苏陕扶贫协作、津陕对口合作机制，加大区域合作力度，促进区域、城乡、校地之间人才合作与交流，鼓励</w:t>
      </w:r>
      <w:r>
        <w:rPr>
          <w:rFonts w:hint="eastAsia" w:ascii="仿宋_GB2312" w:hAnsi="仿宋_GB2312" w:eastAsia="仿宋_GB2312" w:cs="仿宋_GB2312"/>
          <w:b w:val="0"/>
          <w:bCs/>
          <w:szCs w:val="24"/>
          <w:lang w:eastAsia="zh-CN"/>
        </w:rPr>
        <w:t>卫生</w:t>
      </w:r>
      <w:r>
        <w:rPr>
          <w:rFonts w:hint="eastAsia" w:ascii="仿宋_GB2312" w:hAnsi="仿宋_GB2312" w:eastAsia="仿宋_GB2312" w:cs="仿宋_GB2312"/>
          <w:b w:val="0"/>
          <w:bCs/>
          <w:szCs w:val="24"/>
        </w:rPr>
        <w:t>、</w:t>
      </w:r>
      <w:r>
        <w:rPr>
          <w:rFonts w:hint="eastAsia" w:ascii="仿宋_GB2312" w:hAnsi="仿宋_GB2312" w:eastAsia="仿宋_GB2312" w:cs="仿宋_GB2312"/>
          <w:b w:val="0"/>
          <w:bCs/>
          <w:szCs w:val="24"/>
          <w:lang w:eastAsia="zh-CN"/>
        </w:rPr>
        <w:t>教育</w:t>
      </w:r>
      <w:r>
        <w:rPr>
          <w:rFonts w:hint="eastAsia" w:ascii="仿宋_GB2312" w:hAnsi="仿宋_GB2312" w:eastAsia="仿宋_GB2312" w:cs="仿宋_GB2312"/>
          <w:b w:val="0"/>
          <w:bCs/>
          <w:szCs w:val="24"/>
        </w:rPr>
        <w:t>、科技、文化等专业技术人员定期到紫阳开展“智力帮扶”，推进人才理念从“为我所有”到“为我所用”转变。加快建立县域专业人才统筹使用</w:t>
      </w:r>
      <w:r>
        <w:rPr>
          <w:rFonts w:hint="eastAsia" w:ascii="仿宋_GB2312" w:hAnsi="仿宋_GB2312" w:eastAsia="仿宋_GB2312" w:cs="仿宋_GB2312"/>
          <w:b w:val="0"/>
          <w:bCs/>
          <w:szCs w:val="24"/>
          <w:lang w:eastAsia="zh-CN"/>
        </w:rPr>
        <w:t>机制</w:t>
      </w:r>
      <w:r>
        <w:rPr>
          <w:rFonts w:hint="eastAsia" w:ascii="仿宋_GB2312" w:hAnsi="仿宋_GB2312" w:eastAsia="仿宋_GB2312" w:cs="仿宋_GB2312"/>
          <w:b w:val="0"/>
          <w:bCs/>
          <w:szCs w:val="24"/>
        </w:rPr>
        <w:t>，建立健全基层专业技术人才“定向评价、定向使用”用人制度，加大专业人才专项技能、知识培训。</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（二）深入实施“凤还巢”计划</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以乡情乡愁为纽带，以大学生、进城务工人员、退伍军人等为重点，以创业园、社区工厂、孵化园等为主体，建立有效激励机制，吸引紫阳籍企业家、党政干部、专家学者、知名人士通过投资兴业、项目扶持、行医办学、爱心捐赠、志愿服务、法律援助等方式投身家乡乡村振兴事业。积极开展农村创新创业带头人评选活动，发挥领头雁示范带头作用，带动更多优秀人才返乡创业。</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lang w:eastAsia="zh-CN"/>
        </w:rPr>
        <w:t>大力实施“归雁工程”，引导支持乡贤力量参与助力乡村振兴，</w:t>
      </w:r>
      <w:r>
        <w:rPr>
          <w:rFonts w:hint="eastAsia" w:ascii="仿宋_GB2312" w:hAnsi="仿宋_GB2312" w:eastAsia="仿宋_GB2312" w:cs="仿宋_GB2312"/>
          <w:b w:val="0"/>
          <w:bCs/>
          <w:szCs w:val="24"/>
        </w:rPr>
        <w:t>建立完善新乡贤吸纳机制，设立“紫阳县乡贤馆”，引导乡贤利用自身资源、技术、人脉等优势，为农村发展发光发热，实现人才流出再返回的良性循环，为实施乡村振兴战略注入强大正能量。</w:t>
      </w:r>
    </w:p>
    <w:tbl>
      <w:tblPr>
        <w:tblStyle w:val="16"/>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94" w:type="dxa"/>
            <w:shd w:val="clear" w:color="auto" w:fill="D8D8D8" w:themeFill="background1" w:themeFillShade="D9"/>
          </w:tcPr>
          <w:p>
            <w:pPr>
              <w:tabs>
                <w:tab w:val="left" w:pos="3590"/>
              </w:tabs>
              <w:spacing w:line="240" w:lineRule="auto"/>
              <w:ind w:firstLine="437"/>
              <w:jc w:val="center"/>
              <w:rPr>
                <w:rFonts w:ascii="宋体" w:hAnsi="宋体" w:eastAsia="宋体" w:cs="Times New Roman"/>
                <w:b w:val="0"/>
                <w:bCs/>
                <w:w w:val="90"/>
                <w:sz w:val="24"/>
                <w:szCs w:val="32"/>
              </w:rPr>
            </w:pPr>
            <w:r>
              <w:rPr>
                <w:rFonts w:hint="eastAsia" w:ascii="宋体" w:hAnsi="宋体" w:cs="宋体" w:eastAsiaTheme="minorEastAsia"/>
                <w:b w:val="0"/>
                <w:bCs/>
                <w:w w:val="90"/>
                <w:kern w:val="0"/>
                <w:sz w:val="24"/>
                <w:szCs w:val="20"/>
              </w:rPr>
              <w:t>专栏12 育人聚才行动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4" w:type="dxa"/>
          </w:tcPr>
          <w:p>
            <w:pPr>
              <w:spacing w:line="240" w:lineRule="auto"/>
              <w:ind w:firstLine="437"/>
              <w:rPr>
                <w:rFonts w:ascii="宋体" w:hAnsi="宋体" w:eastAsia="宋体" w:cs="Times New Roman"/>
                <w:b w:val="0"/>
                <w:bCs/>
                <w:w w:val="90"/>
                <w:sz w:val="24"/>
              </w:rPr>
            </w:pPr>
            <w:r>
              <w:rPr>
                <w:rFonts w:ascii="宋体" w:hAnsi="宋体" w:eastAsia="宋体" w:cs="Times New Roman"/>
                <w:b w:val="0"/>
                <w:bCs/>
                <w:w w:val="90"/>
                <w:sz w:val="24"/>
              </w:rPr>
              <w:t>农业科技人才</w:t>
            </w:r>
            <w:r>
              <w:rPr>
                <w:rFonts w:hint="eastAsia" w:ascii="宋体" w:hAnsi="宋体" w:eastAsia="宋体" w:cs="Times New Roman"/>
                <w:b w:val="0"/>
                <w:bCs/>
                <w:w w:val="90"/>
                <w:sz w:val="24"/>
              </w:rPr>
              <w:t>培育计划：</w:t>
            </w:r>
            <w:r>
              <w:rPr>
                <w:rFonts w:ascii="宋体" w:hAnsi="宋体" w:eastAsia="宋体" w:cs="Times New Roman"/>
                <w:b w:val="0"/>
                <w:bCs/>
                <w:w w:val="90"/>
                <w:sz w:val="24"/>
              </w:rPr>
              <w:t>实施农技推广服务特聘计划，继续</w:t>
            </w:r>
            <w:r>
              <w:rPr>
                <w:rFonts w:hint="eastAsia" w:ascii="宋体" w:hAnsi="宋体" w:eastAsia="宋体" w:cs="Times New Roman"/>
                <w:b w:val="0"/>
                <w:bCs/>
                <w:w w:val="90"/>
                <w:sz w:val="24"/>
              </w:rPr>
              <w:t>开展</w:t>
            </w:r>
            <w:r>
              <w:rPr>
                <w:rFonts w:ascii="宋体" w:hAnsi="宋体" w:eastAsia="宋体" w:cs="Times New Roman"/>
                <w:b w:val="0"/>
                <w:bCs/>
                <w:w w:val="90"/>
                <w:sz w:val="24"/>
              </w:rPr>
              <w:t>好农村科技特派员工作，围绕产业发展、农机装备、市场拓展、农产品质量安全等，大力培育农业科技人才。</w:t>
            </w:r>
          </w:p>
          <w:p>
            <w:pPr>
              <w:spacing w:line="240" w:lineRule="auto"/>
              <w:ind w:firstLine="437"/>
              <w:rPr>
                <w:rFonts w:ascii="宋体" w:hAnsi="宋体" w:eastAsia="宋体" w:cs="Times New Roman"/>
                <w:b w:val="0"/>
                <w:bCs/>
                <w:w w:val="90"/>
                <w:sz w:val="24"/>
              </w:rPr>
            </w:pPr>
            <w:r>
              <w:rPr>
                <w:rFonts w:hint="eastAsia" w:ascii="宋体" w:hAnsi="宋体" w:eastAsia="宋体" w:cs="Times New Roman"/>
                <w:b w:val="0"/>
                <w:bCs/>
                <w:w w:val="90"/>
                <w:sz w:val="24"/>
              </w:rPr>
              <w:t>公共</w:t>
            </w:r>
            <w:r>
              <w:rPr>
                <w:rFonts w:ascii="宋体" w:hAnsi="宋体" w:eastAsia="宋体" w:cs="Times New Roman"/>
                <w:b w:val="0"/>
                <w:bCs/>
                <w:w w:val="90"/>
                <w:sz w:val="24"/>
              </w:rPr>
              <w:t>事业人才</w:t>
            </w:r>
            <w:r>
              <w:rPr>
                <w:rFonts w:hint="eastAsia" w:ascii="宋体" w:hAnsi="宋体" w:eastAsia="宋体" w:cs="Times New Roman"/>
                <w:b w:val="0"/>
                <w:bCs/>
                <w:w w:val="90"/>
                <w:sz w:val="24"/>
              </w:rPr>
              <w:t>培育计划：</w:t>
            </w:r>
            <w:r>
              <w:rPr>
                <w:rFonts w:ascii="宋体" w:hAnsi="宋体" w:eastAsia="宋体" w:cs="Times New Roman"/>
                <w:b w:val="0"/>
                <w:bCs/>
                <w:w w:val="90"/>
                <w:sz w:val="24"/>
              </w:rPr>
              <w:t>建立县城教师、医生、</w:t>
            </w:r>
            <w:r>
              <w:rPr>
                <w:rFonts w:hint="eastAsia" w:ascii="宋体" w:hAnsi="宋体" w:eastAsia="宋体" w:cs="Times New Roman"/>
                <w:b w:val="0"/>
                <w:bCs/>
                <w:w w:val="90"/>
                <w:sz w:val="24"/>
              </w:rPr>
              <w:t>文化</w:t>
            </w:r>
            <w:r>
              <w:rPr>
                <w:rFonts w:ascii="宋体" w:hAnsi="宋体" w:eastAsia="宋体" w:cs="Times New Roman"/>
                <w:b w:val="0"/>
                <w:bCs/>
                <w:w w:val="90"/>
                <w:sz w:val="24"/>
              </w:rPr>
              <w:t>、</w:t>
            </w:r>
            <w:r>
              <w:rPr>
                <w:rFonts w:hint="eastAsia" w:ascii="宋体" w:hAnsi="宋体" w:eastAsia="宋体" w:cs="Times New Roman"/>
                <w:b w:val="0"/>
                <w:bCs/>
                <w:w w:val="90"/>
                <w:sz w:val="24"/>
              </w:rPr>
              <w:t>科技</w:t>
            </w:r>
            <w:r>
              <w:rPr>
                <w:rFonts w:ascii="宋体" w:hAnsi="宋体" w:eastAsia="宋体" w:cs="Times New Roman"/>
                <w:b w:val="0"/>
                <w:bCs/>
                <w:w w:val="90"/>
                <w:sz w:val="24"/>
              </w:rPr>
              <w:t>等专业人才服务乡村机制，通过培训、线上服务、人才交流等多种形式，提高农村各项社会事业从业人员专业</w:t>
            </w:r>
            <w:r>
              <w:rPr>
                <w:rFonts w:hint="eastAsia" w:ascii="宋体" w:hAnsi="宋体" w:eastAsia="宋体" w:cs="Times New Roman"/>
                <w:b w:val="0"/>
                <w:bCs/>
                <w:w w:val="90"/>
                <w:sz w:val="24"/>
              </w:rPr>
              <w:t>水平</w:t>
            </w:r>
            <w:r>
              <w:rPr>
                <w:rFonts w:ascii="宋体" w:hAnsi="宋体" w:eastAsia="宋体" w:cs="Times New Roman"/>
                <w:b w:val="0"/>
                <w:bCs/>
                <w:w w:val="90"/>
                <w:sz w:val="24"/>
              </w:rPr>
              <w:t>。</w:t>
            </w:r>
          </w:p>
          <w:p>
            <w:pPr>
              <w:spacing w:line="240" w:lineRule="auto"/>
              <w:ind w:firstLine="437"/>
              <w:rPr>
                <w:rFonts w:cs="Times New Roman" w:asciiTheme="minorEastAsia" w:hAnsiTheme="minorEastAsia" w:eastAsiaTheme="minorEastAsia"/>
                <w:b w:val="0"/>
                <w:bCs/>
                <w:w w:val="90"/>
                <w:sz w:val="24"/>
                <w:szCs w:val="32"/>
              </w:rPr>
            </w:pPr>
            <w:r>
              <w:rPr>
                <w:rFonts w:ascii="宋体" w:hAnsi="宋体" w:eastAsia="宋体" w:cs="Times New Roman"/>
                <w:b w:val="0"/>
                <w:bCs/>
                <w:w w:val="90"/>
                <w:sz w:val="24"/>
              </w:rPr>
              <w:t>文化</w:t>
            </w:r>
            <w:r>
              <w:rPr>
                <w:rFonts w:hint="eastAsia" w:ascii="宋体" w:hAnsi="宋体" w:eastAsia="宋体" w:cs="Times New Roman"/>
                <w:b w:val="0"/>
                <w:bCs/>
                <w:w w:val="90"/>
                <w:sz w:val="24"/>
              </w:rPr>
              <w:t>旅游</w:t>
            </w:r>
            <w:r>
              <w:rPr>
                <w:rFonts w:ascii="宋体" w:hAnsi="宋体" w:eastAsia="宋体" w:cs="Times New Roman"/>
                <w:b w:val="0"/>
                <w:bCs/>
                <w:w w:val="90"/>
                <w:sz w:val="24"/>
              </w:rPr>
              <w:t>人才</w:t>
            </w:r>
            <w:r>
              <w:rPr>
                <w:rFonts w:hint="eastAsia" w:ascii="宋体" w:hAnsi="宋体" w:eastAsia="宋体" w:cs="Times New Roman"/>
                <w:b w:val="0"/>
                <w:bCs/>
                <w:w w:val="90"/>
                <w:sz w:val="24"/>
              </w:rPr>
              <w:t>培育计划：</w:t>
            </w:r>
            <w:r>
              <w:rPr>
                <w:rFonts w:ascii="宋体" w:hAnsi="宋体" w:eastAsia="宋体" w:cs="Times New Roman"/>
                <w:b w:val="0"/>
                <w:bCs/>
                <w:w w:val="90"/>
                <w:sz w:val="24"/>
              </w:rPr>
              <w:t>围绕休闲农业、乡村旅游、文化产业、非物质文化遗产传承等，培养一批具有</w:t>
            </w:r>
            <w:r>
              <w:rPr>
                <w:rFonts w:hint="eastAsia" w:ascii="宋体" w:hAnsi="宋体" w:eastAsia="宋体" w:cs="Times New Roman"/>
                <w:b w:val="0"/>
                <w:bCs/>
                <w:w w:val="90"/>
                <w:sz w:val="24"/>
              </w:rPr>
              <w:t>产业</w:t>
            </w:r>
            <w:r>
              <w:rPr>
                <w:rFonts w:ascii="宋体" w:hAnsi="宋体" w:eastAsia="宋体" w:cs="Times New Roman"/>
                <w:b w:val="0"/>
                <w:bCs/>
                <w:w w:val="90"/>
                <w:sz w:val="24"/>
              </w:rPr>
              <w:t>带动、专业</w:t>
            </w:r>
            <w:r>
              <w:rPr>
                <w:rFonts w:hint="eastAsia" w:ascii="宋体" w:hAnsi="宋体" w:eastAsia="宋体" w:cs="Times New Roman"/>
                <w:b w:val="0"/>
                <w:bCs/>
                <w:w w:val="90"/>
                <w:sz w:val="24"/>
              </w:rPr>
              <w:t>提升</w:t>
            </w:r>
            <w:r>
              <w:rPr>
                <w:rFonts w:ascii="宋体" w:hAnsi="宋体" w:eastAsia="宋体" w:cs="Times New Roman"/>
                <w:b w:val="0"/>
                <w:bCs/>
                <w:w w:val="90"/>
                <w:sz w:val="24"/>
              </w:rPr>
              <w:t>的乡村文化艺术人才。</w:t>
            </w:r>
          </w:p>
          <w:p>
            <w:pPr>
              <w:spacing w:line="240" w:lineRule="auto"/>
              <w:ind w:firstLine="437"/>
              <w:rPr>
                <w:rFonts w:cs="Times New Roman" w:asciiTheme="minorEastAsia" w:hAnsiTheme="minorEastAsia" w:eastAsiaTheme="minorEastAsia"/>
                <w:b w:val="0"/>
                <w:bCs/>
                <w:w w:val="90"/>
                <w:sz w:val="24"/>
                <w:szCs w:val="32"/>
              </w:rPr>
            </w:pPr>
            <w:r>
              <w:rPr>
                <w:rFonts w:cs="Times New Roman" w:asciiTheme="minorEastAsia" w:hAnsiTheme="minorEastAsia" w:eastAsiaTheme="minorEastAsia"/>
                <w:b w:val="0"/>
                <w:bCs/>
                <w:w w:val="90"/>
                <w:sz w:val="24"/>
                <w:szCs w:val="32"/>
              </w:rPr>
              <w:t>“凤还巢”</w:t>
            </w:r>
            <w:r>
              <w:rPr>
                <w:rFonts w:hint="eastAsia" w:cs="Times New Roman" w:asciiTheme="minorEastAsia" w:hAnsiTheme="minorEastAsia" w:eastAsiaTheme="minorEastAsia"/>
                <w:b w:val="0"/>
                <w:bCs/>
                <w:w w:val="90"/>
                <w:sz w:val="24"/>
                <w:szCs w:val="32"/>
              </w:rPr>
              <w:t>行动：</w:t>
            </w:r>
            <w:r>
              <w:rPr>
                <w:rFonts w:cs="Times New Roman" w:asciiTheme="minorEastAsia" w:hAnsiTheme="minorEastAsia" w:eastAsiaTheme="minorEastAsia"/>
                <w:b w:val="0"/>
                <w:bCs/>
                <w:w w:val="90"/>
                <w:sz w:val="24"/>
                <w:szCs w:val="32"/>
              </w:rPr>
              <w:t>实施农民工返乡创业行动，依托“双创”平台，推进返乡人员就近就业创业，投身家乡建设。</w:t>
            </w:r>
          </w:p>
          <w:p>
            <w:pPr>
              <w:spacing w:line="240" w:lineRule="auto"/>
              <w:ind w:firstLine="445"/>
              <w:rPr>
                <w:rFonts w:cs="Times New Roman" w:asciiTheme="minorEastAsia" w:hAnsiTheme="minorEastAsia" w:eastAsiaTheme="minorEastAsia"/>
                <w:b w:val="0"/>
                <w:bCs/>
                <w:w w:val="90"/>
                <w:sz w:val="24"/>
                <w:szCs w:val="32"/>
              </w:rPr>
            </w:pPr>
            <w:r>
              <w:rPr>
                <w:rFonts w:cs="Times New Roman" w:asciiTheme="minorEastAsia" w:hAnsiTheme="minorEastAsia" w:eastAsiaTheme="minorEastAsia"/>
                <w:b w:val="0"/>
                <w:bCs/>
                <w:spacing w:val="2"/>
                <w:w w:val="90"/>
                <w:sz w:val="24"/>
                <w:szCs w:val="32"/>
              </w:rPr>
              <w:t>领头雁</w:t>
            </w:r>
            <w:r>
              <w:rPr>
                <w:rFonts w:cs="Times New Roman" w:asciiTheme="minorEastAsia" w:hAnsiTheme="minorEastAsia" w:eastAsiaTheme="minorEastAsia"/>
                <w:b w:val="0"/>
                <w:bCs/>
                <w:w w:val="90"/>
                <w:sz w:val="24"/>
                <w:szCs w:val="32"/>
              </w:rPr>
              <w:t>培</w:t>
            </w:r>
            <w:r>
              <w:rPr>
                <w:rFonts w:cs="Times New Roman" w:asciiTheme="minorEastAsia" w:hAnsiTheme="minorEastAsia" w:eastAsiaTheme="minorEastAsia"/>
                <w:b w:val="0"/>
                <w:bCs/>
                <w:spacing w:val="2"/>
                <w:w w:val="90"/>
                <w:sz w:val="24"/>
                <w:szCs w:val="32"/>
              </w:rPr>
              <w:t>养</w:t>
            </w:r>
            <w:r>
              <w:rPr>
                <w:rFonts w:hint="eastAsia" w:cs="Times New Roman" w:asciiTheme="minorEastAsia" w:hAnsiTheme="minorEastAsia" w:eastAsiaTheme="minorEastAsia"/>
                <w:b w:val="0"/>
                <w:bCs/>
                <w:spacing w:val="2"/>
                <w:w w:val="90"/>
                <w:sz w:val="24"/>
                <w:szCs w:val="32"/>
              </w:rPr>
              <w:t>行动：建设</w:t>
            </w:r>
            <w:r>
              <w:rPr>
                <w:rFonts w:cs="Times New Roman" w:asciiTheme="minorEastAsia" w:hAnsiTheme="minorEastAsia" w:eastAsiaTheme="minorEastAsia"/>
                <w:b w:val="0"/>
                <w:bCs/>
                <w:w w:val="90"/>
                <w:sz w:val="24"/>
                <w:szCs w:val="32"/>
              </w:rPr>
              <w:t>农村</w:t>
            </w:r>
            <w:r>
              <w:rPr>
                <w:rFonts w:cs="Times New Roman" w:asciiTheme="minorEastAsia" w:hAnsiTheme="minorEastAsia" w:eastAsiaTheme="minorEastAsia"/>
                <w:b w:val="0"/>
                <w:bCs/>
                <w:spacing w:val="2"/>
                <w:w w:val="90"/>
                <w:sz w:val="24"/>
                <w:szCs w:val="32"/>
              </w:rPr>
              <w:t>发</w:t>
            </w:r>
            <w:r>
              <w:rPr>
                <w:rFonts w:cs="Times New Roman" w:asciiTheme="minorEastAsia" w:hAnsiTheme="minorEastAsia" w:eastAsiaTheme="minorEastAsia"/>
                <w:b w:val="0"/>
                <w:bCs/>
                <w:w w:val="90"/>
                <w:sz w:val="24"/>
                <w:szCs w:val="32"/>
              </w:rPr>
              <w:t>展领</w:t>
            </w:r>
            <w:r>
              <w:rPr>
                <w:rFonts w:cs="Times New Roman" w:asciiTheme="minorEastAsia" w:hAnsiTheme="minorEastAsia" w:eastAsiaTheme="minorEastAsia"/>
                <w:b w:val="0"/>
                <w:bCs/>
                <w:spacing w:val="2"/>
                <w:w w:val="90"/>
                <w:sz w:val="24"/>
                <w:szCs w:val="32"/>
              </w:rPr>
              <w:t>头</w:t>
            </w:r>
            <w:r>
              <w:rPr>
                <w:rFonts w:cs="Times New Roman" w:asciiTheme="minorEastAsia" w:hAnsiTheme="minorEastAsia" w:eastAsiaTheme="minorEastAsia"/>
                <w:b w:val="0"/>
                <w:bCs/>
                <w:w w:val="90"/>
                <w:sz w:val="24"/>
                <w:szCs w:val="32"/>
              </w:rPr>
              <w:t>人队</w:t>
            </w:r>
            <w:r>
              <w:rPr>
                <w:rFonts w:cs="Times New Roman" w:asciiTheme="minorEastAsia" w:hAnsiTheme="minorEastAsia" w:eastAsiaTheme="minorEastAsia"/>
                <w:b w:val="0"/>
                <w:bCs/>
                <w:spacing w:val="2"/>
                <w:w w:val="90"/>
                <w:sz w:val="24"/>
                <w:szCs w:val="32"/>
              </w:rPr>
              <w:t>伍，</w:t>
            </w:r>
            <w:r>
              <w:rPr>
                <w:rFonts w:cs="Times New Roman" w:asciiTheme="minorEastAsia" w:hAnsiTheme="minorEastAsia" w:eastAsiaTheme="minorEastAsia"/>
                <w:b w:val="0"/>
                <w:bCs/>
                <w:w w:val="90"/>
                <w:sz w:val="24"/>
                <w:szCs w:val="32"/>
              </w:rPr>
              <w:t>培育</w:t>
            </w:r>
            <w:r>
              <w:rPr>
                <w:rFonts w:cs="Times New Roman" w:asciiTheme="minorEastAsia" w:hAnsiTheme="minorEastAsia" w:eastAsiaTheme="minorEastAsia"/>
                <w:b w:val="0"/>
                <w:bCs/>
                <w:spacing w:val="2"/>
                <w:w w:val="90"/>
                <w:sz w:val="24"/>
                <w:szCs w:val="32"/>
              </w:rPr>
              <w:t>农</w:t>
            </w:r>
            <w:r>
              <w:rPr>
                <w:rFonts w:cs="Times New Roman" w:asciiTheme="minorEastAsia" w:hAnsiTheme="minorEastAsia" w:eastAsiaTheme="minorEastAsia"/>
                <w:b w:val="0"/>
                <w:bCs/>
                <w:w w:val="90"/>
                <w:sz w:val="24"/>
                <w:szCs w:val="32"/>
              </w:rPr>
              <w:t>村党</w:t>
            </w:r>
            <w:r>
              <w:rPr>
                <w:rFonts w:cs="Times New Roman" w:asciiTheme="minorEastAsia" w:hAnsiTheme="minorEastAsia" w:eastAsiaTheme="minorEastAsia"/>
                <w:b w:val="0"/>
                <w:bCs/>
                <w:spacing w:val="2"/>
                <w:w w:val="90"/>
                <w:sz w:val="24"/>
                <w:szCs w:val="32"/>
              </w:rPr>
              <w:t>组</w:t>
            </w:r>
            <w:r>
              <w:rPr>
                <w:rFonts w:cs="Times New Roman" w:asciiTheme="minorEastAsia" w:hAnsiTheme="minorEastAsia" w:eastAsiaTheme="minorEastAsia"/>
                <w:b w:val="0"/>
                <w:bCs/>
                <w:w w:val="90"/>
                <w:sz w:val="24"/>
                <w:szCs w:val="32"/>
              </w:rPr>
              <w:t>织带头人</w:t>
            </w:r>
            <w:r>
              <w:rPr>
                <w:rFonts w:cs="Times New Roman" w:asciiTheme="minorEastAsia" w:hAnsiTheme="minorEastAsia" w:eastAsiaTheme="minorEastAsia"/>
                <w:b w:val="0"/>
                <w:bCs/>
                <w:spacing w:val="-29"/>
                <w:w w:val="90"/>
                <w:sz w:val="24"/>
                <w:szCs w:val="32"/>
              </w:rPr>
              <w:t>、</w:t>
            </w:r>
            <w:r>
              <w:rPr>
                <w:rFonts w:cs="Times New Roman" w:asciiTheme="minorEastAsia" w:hAnsiTheme="minorEastAsia" w:eastAsiaTheme="minorEastAsia"/>
                <w:b w:val="0"/>
                <w:bCs/>
                <w:w w:val="90"/>
                <w:sz w:val="24"/>
                <w:szCs w:val="32"/>
              </w:rPr>
              <w:t>农村致富带头人</w:t>
            </w:r>
            <w:r>
              <w:rPr>
                <w:rFonts w:cs="Times New Roman" w:asciiTheme="minorEastAsia" w:hAnsiTheme="minorEastAsia" w:eastAsiaTheme="minorEastAsia"/>
                <w:b w:val="0"/>
                <w:bCs/>
                <w:spacing w:val="-32"/>
                <w:w w:val="90"/>
                <w:sz w:val="24"/>
                <w:szCs w:val="32"/>
              </w:rPr>
              <w:t>、</w:t>
            </w:r>
            <w:r>
              <w:rPr>
                <w:rFonts w:cs="Times New Roman" w:asciiTheme="minorEastAsia" w:hAnsiTheme="minorEastAsia" w:eastAsiaTheme="minorEastAsia"/>
                <w:b w:val="0"/>
                <w:bCs/>
                <w:w w:val="90"/>
                <w:sz w:val="24"/>
                <w:szCs w:val="32"/>
              </w:rPr>
              <w:t>高素质农村党员</w:t>
            </w:r>
            <w:r>
              <w:rPr>
                <w:rFonts w:cs="Times New Roman" w:asciiTheme="minorEastAsia" w:hAnsiTheme="minorEastAsia" w:eastAsiaTheme="minorEastAsia"/>
                <w:b w:val="0"/>
                <w:bCs/>
                <w:spacing w:val="-29"/>
                <w:w w:val="90"/>
                <w:sz w:val="24"/>
                <w:szCs w:val="32"/>
              </w:rPr>
              <w:t>、</w:t>
            </w:r>
            <w:r>
              <w:rPr>
                <w:rFonts w:cs="Times New Roman" w:asciiTheme="minorEastAsia" w:hAnsiTheme="minorEastAsia" w:eastAsiaTheme="minorEastAsia"/>
                <w:b w:val="0"/>
                <w:bCs/>
                <w:w w:val="90"/>
                <w:sz w:val="24"/>
                <w:szCs w:val="32"/>
              </w:rPr>
              <w:t>基层领导干部</w:t>
            </w:r>
            <w:r>
              <w:rPr>
                <w:rFonts w:cs="Times New Roman" w:asciiTheme="minorEastAsia" w:hAnsiTheme="minorEastAsia" w:eastAsiaTheme="minorEastAsia"/>
                <w:b w:val="0"/>
                <w:bCs/>
                <w:spacing w:val="-32"/>
                <w:w w:val="90"/>
                <w:sz w:val="24"/>
                <w:szCs w:val="32"/>
              </w:rPr>
              <w:t>。</w:t>
            </w:r>
          </w:p>
          <w:p>
            <w:pPr>
              <w:spacing w:line="240" w:lineRule="auto"/>
              <w:ind w:firstLine="445"/>
              <w:rPr>
                <w:rFonts w:cs="Times New Roman" w:asciiTheme="minorEastAsia" w:hAnsiTheme="minorEastAsia" w:eastAsiaTheme="minorEastAsia"/>
                <w:b w:val="0"/>
                <w:bCs/>
                <w:w w:val="90"/>
                <w:sz w:val="24"/>
                <w:szCs w:val="32"/>
              </w:rPr>
            </w:pPr>
            <w:r>
              <w:rPr>
                <w:rFonts w:cs="Times New Roman" w:asciiTheme="minorEastAsia" w:hAnsiTheme="minorEastAsia" w:eastAsiaTheme="minorEastAsia"/>
                <w:b w:val="0"/>
                <w:bCs/>
                <w:spacing w:val="2"/>
                <w:w w:val="90"/>
                <w:sz w:val="24"/>
                <w:szCs w:val="32"/>
              </w:rPr>
              <w:t>“三乡”</w:t>
            </w:r>
            <w:r>
              <w:rPr>
                <w:rFonts w:hint="eastAsia" w:cs="Times New Roman" w:asciiTheme="minorEastAsia" w:hAnsiTheme="minorEastAsia" w:eastAsiaTheme="minorEastAsia"/>
                <w:b w:val="0"/>
                <w:bCs/>
                <w:spacing w:val="2"/>
                <w:w w:val="90"/>
                <w:sz w:val="24"/>
                <w:szCs w:val="32"/>
              </w:rPr>
              <w:t>行动：</w:t>
            </w:r>
            <w:r>
              <w:rPr>
                <w:rFonts w:cs="Times New Roman" w:asciiTheme="minorEastAsia" w:hAnsiTheme="minorEastAsia" w:eastAsiaTheme="minorEastAsia"/>
                <w:b w:val="0"/>
                <w:bCs/>
                <w:spacing w:val="2"/>
                <w:w w:val="90"/>
                <w:sz w:val="24"/>
                <w:szCs w:val="32"/>
              </w:rPr>
              <w:t>推动市民下乡、能人回乡、企业兴乡，促进城市资金、</w:t>
            </w:r>
            <w:r>
              <w:rPr>
                <w:rFonts w:cs="Times New Roman" w:asciiTheme="minorEastAsia" w:hAnsiTheme="minorEastAsia" w:eastAsiaTheme="minorEastAsia"/>
                <w:b w:val="0"/>
                <w:bCs/>
                <w:w w:val="90"/>
                <w:sz w:val="24"/>
                <w:szCs w:val="32"/>
              </w:rPr>
              <w:t>技术、人才、信息等要素与农村资源有效对接，聚集农村发展新力量。</w:t>
            </w:r>
          </w:p>
        </w:tc>
      </w:tr>
    </w:tbl>
    <w:p>
      <w:pPr>
        <w:ind w:firstLine="640"/>
        <w:outlineLvl w:val="1"/>
        <w:rPr>
          <w:rFonts w:ascii="黑体" w:hAnsi="黑体" w:eastAsia="黑体"/>
          <w:b w:val="0"/>
          <w:bCs/>
        </w:rPr>
      </w:pPr>
      <w:bookmarkStart w:id="264" w:name="_Toc12523"/>
      <w:bookmarkStart w:id="265" w:name="_Toc1592"/>
      <w:bookmarkStart w:id="266" w:name="_Toc3478"/>
      <w:bookmarkStart w:id="267" w:name="_Toc14520"/>
      <w:r>
        <w:rPr>
          <w:rFonts w:hint="eastAsia" w:ascii="黑体" w:hAnsi="黑体" w:eastAsia="黑体"/>
          <w:b w:val="0"/>
          <w:bCs/>
        </w:rPr>
        <w:t>二、优化人才发展环境</w:t>
      </w:r>
      <w:bookmarkEnd w:id="264"/>
      <w:bookmarkEnd w:id="265"/>
      <w:bookmarkEnd w:id="266"/>
      <w:bookmarkEnd w:id="267"/>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（一）完善“本土人才”发展环境</w:t>
      </w:r>
    </w:p>
    <w:p>
      <w:pPr>
        <w:overflowPunct w:val="0"/>
        <w:ind w:firstLine="640"/>
        <w:rPr>
          <w:rFonts w:ascii="宋体" w:hAnsi="宋体" w:eastAsia="宋体"/>
          <w:b w:val="0"/>
          <w:bCs/>
          <w:szCs w:val="24"/>
        </w:rPr>
      </w:pPr>
      <w:r>
        <w:rPr>
          <w:rFonts w:hint="eastAsia" w:ascii="仿宋_GB2312" w:hAnsi="仿宋_GB2312" w:eastAsia="仿宋_GB2312" w:cs="仿宋_GB2312"/>
          <w:b w:val="0"/>
          <w:bCs/>
          <w:szCs w:val="24"/>
        </w:rPr>
        <w:t>推进人才发展体制机制改革，落实基层专业技术人才职称评聘、创业扶持、待遇保障等政策。设置人才“一站式”服务窗口，为乡村人才提供全方位服务。建立健全农村乡土（实用）人才信息库，实行精准分类和动态管理机制。做好优秀乡镇农技人员、最美基层农技员、乡村教育突出贡献奖等评选工作。创新人才激励奖励举措，对长期在基层工作且业绩优异的本土人才给予表彰奖励，奖励结果作为职称评定参考依据。</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（二）优化“引进人才”发展环境</w:t>
      </w:r>
    </w:p>
    <w:p>
      <w:pPr>
        <w:overflowPunct w:val="0"/>
        <w:ind w:firstLine="640"/>
        <w:rPr>
          <w:rFonts w:ascii="宋体" w:hAnsi="宋体" w:eastAsia="宋体"/>
          <w:b w:val="0"/>
          <w:bCs/>
          <w:szCs w:val="24"/>
        </w:rPr>
      </w:pPr>
      <w:r>
        <w:rPr>
          <w:rFonts w:hint="eastAsia" w:ascii="仿宋_GB2312" w:hAnsi="仿宋_GB2312" w:eastAsia="仿宋_GB2312" w:cs="仿宋_GB2312"/>
          <w:b w:val="0"/>
          <w:bCs/>
          <w:szCs w:val="24"/>
        </w:rPr>
        <w:t>对有意回乡创业人员，在行政审批、用地保障、资金支持等方面给予优先支持，通过建立绿色通道、提升服务效能改善营商环境。研究制定全方位人才管理发展办法，完善配套政策；积极开展优秀人才宣传，形成尊重人才、见贤思齐的社会风尚。鼓励支持企业家、专家学者、技能人才等通过下乡担任志愿者、投资兴业、包村包项目等方式，参与紫阳乡村振兴。积极解决高层次人才住房保障、医疗保健、配偶就业、子女教育等方面的实际困难，确保人才引得进、留得住。</w:t>
      </w:r>
    </w:p>
    <w:p>
      <w:pPr>
        <w:spacing w:before="240" w:beforeLines="100" w:after="120" w:afterLines="50" w:line="360" w:lineRule="auto"/>
        <w:ind w:firstLine="640"/>
        <w:jc w:val="center"/>
        <w:rPr>
          <w:rFonts w:ascii="黑体" w:hAnsi="黑体" w:eastAsia="黑体"/>
          <w:b w:val="0"/>
          <w:bCs/>
          <w:szCs w:val="32"/>
        </w:rPr>
        <w:sectPr>
          <w:footerReference r:id="rId28" w:type="first"/>
          <w:footerReference r:id="rId27"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268" w:name="_Toc31424"/>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269" w:name="_Toc24102"/>
      <w:bookmarkStart w:id="270" w:name="_Toc18997"/>
      <w:bookmarkStart w:id="271" w:name="_Toc21242"/>
      <w:r>
        <w:rPr>
          <w:rFonts w:hint="eastAsia" w:ascii="黑体" w:hAnsi="黑体" w:eastAsia="黑体"/>
          <w:b w:val="0"/>
          <w:bCs/>
          <w:szCs w:val="32"/>
        </w:rPr>
        <w:t>第十章 改善农村民生 强化基础设施和公共服务建设</w:t>
      </w:r>
      <w:bookmarkEnd w:id="268"/>
      <w:bookmarkEnd w:id="269"/>
      <w:bookmarkEnd w:id="270"/>
      <w:bookmarkEnd w:id="271"/>
    </w:p>
    <w:p>
      <w:pPr>
        <w:overflowPunct w:val="0"/>
        <w:ind w:firstLine="640"/>
        <w:rPr>
          <w:rFonts w:hint="eastAsia" w:ascii="仿宋_GB2312" w:hAnsi="仿宋_GB2312" w:eastAsia="仿宋_GB2312" w:cs="仿宋_GB2312"/>
          <w:b w:val="0"/>
          <w:bCs/>
          <w:szCs w:val="24"/>
        </w:rPr>
      </w:pPr>
      <w:r>
        <w:rPr>
          <w:rFonts w:hint="eastAsia" w:ascii="仿宋_GB2312" w:hAnsi="仿宋_GB2312" w:eastAsia="仿宋_GB2312" w:cs="仿宋_GB2312"/>
          <w:b w:val="0"/>
          <w:bCs/>
          <w:szCs w:val="24"/>
        </w:rPr>
        <w:t>坚持人人尽责、人人享有，围绕农民群众最关心、最直接、最现实的利益问题，</w:t>
      </w:r>
      <w:r>
        <w:rPr>
          <w:rFonts w:hint="eastAsia" w:ascii="仿宋_GB2312" w:hAnsi="仿宋_GB2312" w:eastAsia="仿宋_GB2312" w:cs="仿宋_GB2312"/>
          <w:b w:val="0"/>
          <w:bCs/>
          <w:szCs w:val="24"/>
          <w:lang w:eastAsia="zh-CN"/>
        </w:rPr>
        <w:t>大力实施乡村建设行动，进一步改善农村公共交通、水电供应、教育医疗、防洪灌溉、网络通讯、电子商务、邮政快递、卫生厕所等生产生活条件，</w:t>
      </w:r>
      <w:r>
        <w:rPr>
          <w:rFonts w:hint="eastAsia" w:ascii="仿宋_GB2312" w:hAnsi="仿宋_GB2312" w:eastAsia="仿宋_GB2312" w:cs="仿宋_GB2312"/>
          <w:b w:val="0"/>
          <w:bCs/>
          <w:szCs w:val="24"/>
        </w:rPr>
        <w:t>加快补齐农村民生短板，让农民群众有更多实实在在的获得感、幸福感和安全感。</w:t>
      </w:r>
    </w:p>
    <w:p>
      <w:pPr>
        <w:spacing w:line="540" w:lineRule="exact"/>
        <w:ind w:firstLine="640"/>
        <w:outlineLvl w:val="1"/>
        <w:rPr>
          <w:rFonts w:ascii="黑体" w:hAnsi="黑体" w:eastAsia="黑体"/>
          <w:b w:val="0"/>
          <w:bCs/>
        </w:rPr>
      </w:pPr>
      <w:bookmarkStart w:id="272" w:name="_Toc15878"/>
      <w:bookmarkStart w:id="273" w:name="_Toc10350"/>
      <w:bookmarkStart w:id="274" w:name="_Toc28304"/>
      <w:bookmarkStart w:id="275" w:name="_Toc17513"/>
      <w:r>
        <w:rPr>
          <w:rFonts w:hint="eastAsia" w:ascii="黑体" w:hAnsi="黑体" w:eastAsia="黑体"/>
          <w:b w:val="0"/>
          <w:bCs/>
        </w:rPr>
        <w:t>一、加强农村基础设施建设</w:t>
      </w:r>
      <w:bookmarkEnd w:id="272"/>
      <w:bookmarkEnd w:id="273"/>
      <w:bookmarkEnd w:id="274"/>
      <w:bookmarkEnd w:id="275"/>
    </w:p>
    <w:p>
      <w:pPr>
        <w:widowControl/>
        <w:overflowPunct w:val="0"/>
        <w:spacing w:line="540" w:lineRule="exact"/>
        <w:ind w:firstLine="643"/>
        <w:outlineLvl w:val="2"/>
        <w:rPr>
          <w:rFonts w:ascii="楷体" w:hAnsi="楷体" w:eastAsia="楷体"/>
          <w:b w:val="0"/>
          <w:bCs/>
          <w:szCs w:val="24"/>
        </w:rPr>
      </w:pPr>
      <w:r>
        <w:rPr>
          <w:rFonts w:hint="eastAsia" w:ascii="楷体" w:hAnsi="楷体" w:eastAsia="楷体"/>
          <w:b w:val="0"/>
          <w:bCs/>
          <w:szCs w:val="24"/>
        </w:rPr>
        <w:t>（一）改善农村交通条件</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推进基础设施向农村延伸，加快出境公路、“四好农村路”、跨江河桥梁、客货运场站建设，建成“广覆盖、深通达、高品质”的农村交通运输网络，切实解决群众出行难、运输难问题。实施农村公路安全生命防护工程，全面提升农村公路网的安全保障能力。加大乡村公路养护经费投入力度，建立村组公路养护管理长效机制，切实把农村道路建好、管好、护好、运营好。到2020年，建制村通客车率达到100%，公路列养率、经常性养护率达到100%。</w:t>
      </w:r>
    </w:p>
    <w:p>
      <w:pPr>
        <w:widowControl/>
        <w:overflowPunct w:val="0"/>
        <w:spacing w:line="540" w:lineRule="exact"/>
        <w:ind w:firstLine="643"/>
        <w:outlineLvl w:val="2"/>
        <w:rPr>
          <w:rFonts w:ascii="楷体" w:hAnsi="楷体" w:eastAsia="楷体"/>
          <w:b w:val="0"/>
          <w:bCs/>
          <w:szCs w:val="24"/>
        </w:rPr>
      </w:pPr>
      <w:r>
        <w:rPr>
          <w:rFonts w:hint="eastAsia" w:ascii="楷体" w:hAnsi="楷体" w:eastAsia="楷体"/>
          <w:b w:val="0"/>
          <w:bCs/>
          <w:szCs w:val="24"/>
        </w:rPr>
        <w:t>（二）加强农村供水保障</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实施农村饮水安全巩固提升工程，通过新建或改扩建集中供水厂、更新改造供水管网等措施，保障农村饮水安全。加快推进水系连通工程建设，提高水资源供给和配置能力。积极开展农村供水工程“量化赋权”改革试点，以明晰产权和赋权释能为核心，积极探索专业化和社会化相结合的农村供水管护模式，建立起科学的工程管理体制和良性运行机制。到2023年，全县农村安全饮水率达到100%，农村自来水普及率不低于98%。</w:t>
      </w:r>
    </w:p>
    <w:p>
      <w:pPr>
        <w:widowControl/>
        <w:overflowPunct w:val="0"/>
        <w:spacing w:line="540" w:lineRule="exact"/>
        <w:ind w:firstLine="643"/>
        <w:outlineLvl w:val="2"/>
        <w:rPr>
          <w:rFonts w:ascii="楷体" w:hAnsi="楷体" w:eastAsia="楷体"/>
          <w:b w:val="0"/>
          <w:bCs/>
          <w:szCs w:val="24"/>
        </w:rPr>
      </w:pPr>
      <w:r>
        <w:rPr>
          <w:rFonts w:hint="eastAsia" w:ascii="楷体" w:hAnsi="楷体" w:eastAsia="楷体"/>
          <w:b w:val="0"/>
          <w:bCs/>
          <w:szCs w:val="24"/>
        </w:rPr>
        <w:t>（三）推进农村能源革命</w:t>
      </w:r>
    </w:p>
    <w:p>
      <w:pPr>
        <w:overflowPunct w:val="0"/>
        <w:spacing w:line="540" w:lineRule="exact"/>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优化农村能源供给结构，完善农村能源基础设施，推进新一轮农网改造升级工程。大力推广利用太阳能、生物质能、沼气等清洁能源，积极推进风能开发利用，通过实施“电化紫阳”“以电代燃料”等工程，减少乡村对煤、柴等传统能源的使用量，实现供能方式多元化。</w:t>
      </w:r>
    </w:p>
    <w:p>
      <w:pPr>
        <w:widowControl/>
        <w:overflowPunct w:val="0"/>
        <w:spacing w:line="540" w:lineRule="exact"/>
        <w:ind w:firstLine="643"/>
        <w:outlineLvl w:val="2"/>
        <w:rPr>
          <w:rFonts w:ascii="楷体" w:hAnsi="楷体" w:eastAsia="楷体"/>
          <w:b w:val="0"/>
          <w:bCs/>
          <w:szCs w:val="24"/>
        </w:rPr>
      </w:pPr>
      <w:r>
        <w:rPr>
          <w:rFonts w:hint="eastAsia" w:ascii="楷体" w:hAnsi="楷体" w:eastAsia="楷体"/>
          <w:b w:val="0"/>
          <w:bCs/>
          <w:szCs w:val="24"/>
        </w:rPr>
        <w:t>（四）实施数字乡村战略</w:t>
      </w:r>
    </w:p>
    <w:p>
      <w:pPr>
        <w:overflowPunct w:val="0"/>
        <w:spacing w:after="120" w:afterLines="50" w:line="540" w:lineRule="exact"/>
        <w:ind w:firstLine="640"/>
        <w:rPr>
          <w:rFonts w:ascii="宋体" w:hAnsi="宋体" w:eastAsia="宋体"/>
          <w:b w:val="0"/>
          <w:bCs/>
          <w:szCs w:val="24"/>
        </w:rPr>
      </w:pPr>
      <w:r>
        <w:rPr>
          <w:rFonts w:hint="eastAsia" w:ascii="仿宋_GB2312" w:hAnsi="仿宋_GB2312" w:eastAsia="仿宋_GB2312" w:cs="仿宋_GB2312"/>
          <w:b w:val="0"/>
          <w:bCs/>
          <w:szCs w:val="24"/>
        </w:rPr>
        <w:t>继续实施“宽带入户”工程，加快农村宽带网络覆盖步伐，推进行政村光纤升级改造。积极推进5G基站铁塔、室内分布系统等通信设施共建共享。推动远程医疗、远程教育等应用普及，建立空间化、智能化的新型农村统计信息综合服务系统，提升新一代信息基础设施建设与应用水平。到2023年，自然村组4G网络覆盖率达到100%，力争紫阳成为全国首批5G试点县。</w:t>
      </w:r>
    </w:p>
    <w:tbl>
      <w:tblPr>
        <w:tblStyle w:val="16"/>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jc w:val="center"/>
        </w:trPr>
        <w:tc>
          <w:tcPr>
            <w:tcW w:w="8565" w:type="dxa"/>
            <w:shd w:val="clear" w:color="auto" w:fill="D0CECE" w:themeFill="background2" w:themeFillShade="E6"/>
            <w:vAlign w:val="center"/>
          </w:tcPr>
          <w:p>
            <w:pPr>
              <w:overflowPunct w:val="0"/>
              <w:spacing w:line="240" w:lineRule="auto"/>
              <w:ind w:firstLine="0" w:firstLineChars="0"/>
              <w:jc w:val="center"/>
              <w:rPr>
                <w:rFonts w:ascii="宋体" w:hAnsi="宋体" w:eastAsiaTheme="minorEastAsia"/>
                <w:b w:val="0"/>
                <w:bCs/>
                <w:sz w:val="24"/>
                <w:szCs w:val="20"/>
              </w:rPr>
            </w:pPr>
            <w:r>
              <w:rPr>
                <w:rFonts w:hint="eastAsia" w:ascii="宋体" w:hAnsi="宋体" w:cs="宋体" w:eastAsiaTheme="minorEastAsia"/>
                <w:b w:val="0"/>
                <w:bCs/>
                <w:w w:val="90"/>
                <w:kern w:val="0"/>
                <w:sz w:val="24"/>
                <w:szCs w:val="20"/>
              </w:rPr>
              <w:t>专栏13 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5" w:type="dxa"/>
          </w:tcPr>
          <w:p>
            <w:pPr>
              <w:spacing w:line="240" w:lineRule="auto"/>
              <w:ind w:firstLine="437"/>
              <w:textAlignment w:val="center"/>
              <w:rPr>
                <w:rFonts w:cs="Times New Roman" w:eastAsiaTheme="minorEastAsia"/>
                <w:b w:val="0"/>
                <w:bCs/>
                <w:w w:val="90"/>
                <w:kern w:val="0"/>
                <w:sz w:val="24"/>
                <w:szCs w:val="20"/>
              </w:rPr>
            </w:pPr>
            <w:r>
              <w:rPr>
                <w:rFonts w:ascii="宋体" w:hAnsi="宋体" w:cs="宋体" w:eastAsiaTheme="minorEastAsia"/>
                <w:b w:val="0"/>
                <w:bCs/>
                <w:w w:val="90"/>
                <w:kern w:val="0"/>
                <w:sz w:val="24"/>
                <w:szCs w:val="20"/>
              </w:rPr>
              <w:t>“四好农村路”</w:t>
            </w:r>
            <w:r>
              <w:rPr>
                <w:rFonts w:hint="eastAsia" w:ascii="宋体" w:hAnsi="宋体" w:cs="宋体" w:eastAsiaTheme="minorEastAsia"/>
                <w:b w:val="0"/>
                <w:bCs/>
                <w:w w:val="90"/>
                <w:kern w:val="0"/>
                <w:sz w:val="24"/>
                <w:szCs w:val="20"/>
              </w:rPr>
              <w:t>建设项目：</w:t>
            </w:r>
            <w:r>
              <w:rPr>
                <w:rFonts w:ascii="宋体" w:hAnsi="宋体" w:cs="宋体" w:eastAsiaTheme="minorEastAsia"/>
                <w:b w:val="0"/>
                <w:bCs/>
                <w:w w:val="90"/>
                <w:kern w:val="0"/>
                <w:sz w:val="24"/>
                <w:szCs w:val="20"/>
              </w:rPr>
              <w:t>建设好“四好农村路”，</w:t>
            </w:r>
            <w:r>
              <w:rPr>
                <w:rFonts w:hint="eastAsia" w:ascii="宋体" w:hAnsi="宋体" w:cs="宋体" w:eastAsiaTheme="minorEastAsia"/>
                <w:b w:val="0"/>
                <w:bCs/>
                <w:w w:val="90"/>
                <w:kern w:val="0"/>
                <w:sz w:val="24"/>
                <w:szCs w:val="20"/>
              </w:rPr>
              <w:t>实施洞河镇汝河河口桥-双桥公路、双桥至洄水公路、汉王至蒿坪公路、毛坝至瓦庙公路等城乡公路改建项目，完成紫阳县通村公路道路安全生命防护工程；</w:t>
            </w:r>
            <w:r>
              <w:rPr>
                <w:rFonts w:ascii="宋体" w:hAnsi="宋体" w:cs="宋体" w:eastAsiaTheme="minorEastAsia"/>
                <w:b w:val="0"/>
                <w:bCs/>
                <w:w w:val="90"/>
                <w:kern w:val="0"/>
                <w:sz w:val="24"/>
                <w:szCs w:val="20"/>
              </w:rPr>
              <w:t>管理好“四好农村路”，新建公路机械化养护中</w:t>
            </w:r>
            <w:r>
              <w:rPr>
                <w:rFonts w:cs="Times New Roman" w:eastAsiaTheme="minorEastAsia"/>
                <w:b w:val="0"/>
                <w:bCs/>
                <w:w w:val="90"/>
                <w:kern w:val="0"/>
                <w:sz w:val="24"/>
                <w:szCs w:val="20"/>
              </w:rPr>
              <w:t>心1个、养护站4个，制定爱路护路乡规民约。</w:t>
            </w:r>
          </w:p>
          <w:p>
            <w:pPr>
              <w:spacing w:line="240" w:lineRule="auto"/>
              <w:ind w:firstLine="437"/>
              <w:textAlignment w:val="center"/>
              <w:rPr>
                <w:rFonts w:cs="Times New Roman" w:eastAsiaTheme="minorEastAsia"/>
                <w:b w:val="0"/>
                <w:bCs/>
                <w:w w:val="90"/>
                <w:kern w:val="0"/>
                <w:sz w:val="24"/>
                <w:szCs w:val="20"/>
              </w:rPr>
            </w:pPr>
            <w:r>
              <w:rPr>
                <w:rFonts w:cs="Times New Roman" w:eastAsiaTheme="minorEastAsia"/>
                <w:b w:val="0"/>
                <w:bCs/>
                <w:w w:val="90"/>
                <w:kern w:val="0"/>
                <w:sz w:val="24"/>
                <w:szCs w:val="20"/>
              </w:rPr>
              <w:t>桥梁</w:t>
            </w:r>
            <w:r>
              <w:rPr>
                <w:rFonts w:hint="eastAsia" w:cs="Times New Roman" w:eastAsiaTheme="minorEastAsia"/>
                <w:b w:val="0"/>
                <w:bCs/>
                <w:w w:val="90"/>
                <w:kern w:val="0"/>
                <w:sz w:val="24"/>
                <w:szCs w:val="20"/>
              </w:rPr>
              <w:t>工程建设项目</w:t>
            </w:r>
            <w:r>
              <w:rPr>
                <w:rFonts w:cs="Times New Roman" w:eastAsiaTheme="minorEastAsia"/>
                <w:b w:val="0"/>
                <w:bCs/>
                <w:w w:val="90"/>
                <w:kern w:val="0"/>
                <w:sz w:val="24"/>
                <w:szCs w:val="20"/>
              </w:rPr>
              <w:t>：新建</w:t>
            </w:r>
            <w:r>
              <w:rPr>
                <w:rFonts w:hint="eastAsia" w:cs="Times New Roman" w:eastAsiaTheme="minorEastAsia"/>
                <w:b w:val="0"/>
                <w:bCs/>
                <w:w w:val="90"/>
                <w:kern w:val="0"/>
                <w:sz w:val="24"/>
                <w:szCs w:val="20"/>
              </w:rPr>
              <w:t>焕古跨汉江观景吊桥、城关和平跨汉江大桥，</w:t>
            </w:r>
            <w:r>
              <w:rPr>
                <w:rFonts w:cs="Times New Roman" w:eastAsiaTheme="minorEastAsia"/>
                <w:b w:val="0"/>
                <w:bCs/>
                <w:w w:val="90"/>
                <w:kern w:val="0"/>
                <w:sz w:val="24"/>
                <w:szCs w:val="20"/>
              </w:rPr>
              <w:t>温家坪跨任河大桥</w:t>
            </w:r>
            <w:r>
              <w:rPr>
                <w:rFonts w:hint="eastAsia" w:cs="Times New Roman" w:eastAsiaTheme="minorEastAsia"/>
                <w:b w:val="0"/>
                <w:bCs/>
                <w:w w:val="90"/>
                <w:kern w:val="0"/>
                <w:sz w:val="24"/>
                <w:szCs w:val="20"/>
              </w:rPr>
              <w:t>、芭蕉跨</w:t>
            </w:r>
            <w:r>
              <w:rPr>
                <w:rFonts w:cs="Times New Roman" w:eastAsiaTheme="minorEastAsia"/>
                <w:b w:val="0"/>
                <w:bCs/>
                <w:w w:val="90"/>
                <w:kern w:val="0"/>
                <w:sz w:val="24"/>
                <w:szCs w:val="20"/>
              </w:rPr>
              <w:t>任河大桥</w:t>
            </w:r>
            <w:r>
              <w:rPr>
                <w:rFonts w:hint="eastAsia" w:cs="Times New Roman" w:eastAsiaTheme="minorEastAsia"/>
                <w:b w:val="0"/>
                <w:bCs/>
                <w:w w:val="90"/>
                <w:kern w:val="0"/>
                <w:sz w:val="24"/>
                <w:szCs w:val="20"/>
              </w:rPr>
              <w:t>，建设跨中小河流桥梁10座</w:t>
            </w:r>
            <w:r>
              <w:rPr>
                <w:rFonts w:cs="Times New Roman" w:eastAsiaTheme="minorEastAsia"/>
                <w:b w:val="0"/>
                <w:bCs/>
                <w:w w:val="90"/>
                <w:kern w:val="0"/>
                <w:sz w:val="24"/>
                <w:szCs w:val="20"/>
              </w:rPr>
              <w:t>。</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农村安全饮水项目：在石转河新建饮水低坝、建设水厂、抽水泵、铺设管网等，解决紫阳工业园区、双星社区等地及蒿坪集镇居民生活应急供水和补水问题；对农村老旧供水管网进行改造提升，建立专项养护基金，确保农村饮水工程发挥长效作用。</w:t>
            </w:r>
          </w:p>
          <w:p>
            <w:pPr>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水系连通项目：以蒿坪镇蒿坪河流域作为试点区，推进沔浴河—滴水岩水库—蒿坪河水系连通及农村水系综合整治；实施安五水库-茨沟水库-紫安水库水系建设项目，满足汉王镇江北区域农业灌溉需求。</w:t>
            </w:r>
          </w:p>
          <w:p>
            <w:pPr>
              <w:overflowPunct w:val="0"/>
              <w:spacing w:line="240" w:lineRule="auto"/>
              <w:ind w:firstLine="437"/>
              <w:rPr>
                <w:rFonts w:cs="Times New Roman" w:eastAsiaTheme="minorEastAsia"/>
                <w:b w:val="0"/>
                <w:bCs/>
                <w:w w:val="90"/>
                <w:kern w:val="0"/>
                <w:sz w:val="24"/>
                <w:szCs w:val="20"/>
              </w:rPr>
            </w:pPr>
            <w:r>
              <w:rPr>
                <w:rFonts w:hint="eastAsia" w:cs="Times New Roman" w:eastAsiaTheme="minorEastAsia"/>
                <w:b w:val="0"/>
                <w:bCs/>
                <w:w w:val="90"/>
                <w:kern w:val="0"/>
                <w:sz w:val="24"/>
                <w:szCs w:val="20"/>
              </w:rPr>
              <w:t>信息基础设施建设项目：改造升级信息网络，实现4G全覆盖，</w:t>
            </w:r>
            <w:r>
              <w:rPr>
                <w:rFonts w:cs="Times New Roman" w:eastAsiaTheme="minorEastAsia"/>
                <w:b w:val="0"/>
                <w:bCs/>
                <w:w w:val="90"/>
                <w:kern w:val="0"/>
                <w:sz w:val="24"/>
                <w:szCs w:val="20"/>
              </w:rPr>
              <w:t>推动5G网络布局和商用进程</w:t>
            </w:r>
            <w:r>
              <w:rPr>
                <w:rFonts w:hint="eastAsia" w:cs="Times New Roman" w:eastAsiaTheme="minorEastAsia"/>
                <w:b w:val="0"/>
                <w:bCs/>
                <w:w w:val="90"/>
                <w:kern w:val="0"/>
                <w:sz w:val="24"/>
                <w:szCs w:val="20"/>
              </w:rPr>
              <w:t>；统筹各类信息资源，组建县级应急指挥中心。</w:t>
            </w:r>
          </w:p>
        </w:tc>
      </w:tr>
    </w:tbl>
    <w:p>
      <w:pPr>
        <w:ind w:firstLine="640"/>
        <w:outlineLvl w:val="1"/>
        <w:rPr>
          <w:rFonts w:ascii="黑体" w:hAnsi="黑体" w:eastAsia="黑体"/>
          <w:b w:val="0"/>
          <w:bCs/>
        </w:rPr>
      </w:pPr>
      <w:bookmarkStart w:id="276" w:name="_Toc10280"/>
      <w:bookmarkStart w:id="277" w:name="_Toc4362"/>
      <w:bookmarkStart w:id="278" w:name="_Toc20347"/>
      <w:bookmarkStart w:id="279" w:name="_Toc31915"/>
      <w:r>
        <w:rPr>
          <w:rFonts w:hint="eastAsia" w:ascii="黑体" w:hAnsi="黑体" w:eastAsia="黑体"/>
          <w:b w:val="0"/>
          <w:bCs/>
        </w:rPr>
        <w:t>二、增加农村公共服务供给</w:t>
      </w:r>
      <w:bookmarkEnd w:id="276"/>
      <w:bookmarkEnd w:id="277"/>
      <w:bookmarkEnd w:id="278"/>
      <w:bookmarkEnd w:id="279"/>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（一）优先发展农村教育事业</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教育优先发展，加快建立以城带乡、城乡一体、均衡发展的教育发展机制。实施农村幼儿园补短提升工程，分期分批改善全县农村幼儿园办园条件，提升办园水平，更好满足农村适龄儿童入学需求。实施“全面改薄”工程，加快农村中小学标准化建设，加强乡村小规模学校和寄宿制学校建设。实施高中阶段教育普及攻坚计划，完成紫阳中学、毛坝中学教学与生活设施建设，改善办学条件，巩固提升高中阶段教育普及水平。加快发展职业教育，为乡村振兴发展提供人才储备和技术支撑。切实落实并逐步提高乡村教师生活补助政策和标准，建立完善“下得来、留得住、教得好”的乡村中小学教师补充机制。加快实施银龄讲学计划，缓解农村学校优质师资总量不足和结构不合理等矛盾，促进城乡义务教育均衡发展。</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（二）推进健康乡村建设</w:t>
      </w:r>
    </w:p>
    <w:p>
      <w:pPr>
        <w:overflowPunct w:val="0"/>
        <w:ind w:firstLine="640"/>
        <w:rPr>
          <w:rFonts w:eastAsia="宋体" w:cs="Times New Roman"/>
          <w:b w:val="0"/>
          <w:bCs/>
          <w:szCs w:val="24"/>
        </w:rPr>
      </w:pPr>
      <w:r>
        <w:rPr>
          <w:rFonts w:hint="eastAsia" w:ascii="仿宋_GB2312" w:hAnsi="仿宋_GB2312" w:eastAsia="仿宋_GB2312" w:cs="仿宋_GB2312"/>
          <w:b w:val="0"/>
          <w:bCs/>
          <w:szCs w:val="24"/>
        </w:rPr>
        <w:t>健全以县级医疗机构为龙头、镇卫生院为枢纽、村卫生室为基础的三级医疗卫生服务体系，到2023年，三家县级公立医院达到二级甲等水平，每镇建成1所标准化卫生院、每个行政村建成1个标准化村卫生室。强化农村公共卫生服务，加强慢性病综合防控，大力推进农村精神卫生、职业病和重大传染病防治。统筹和优化城乡、区域之间的卫生资源公平配置，推进紧密型县域医疗卫生共同体建设，鼓励上下级医疗机构建立双向联动转诊机制。开展和规范家庭医生签约服务，逐步提高妇女、老人、残疾人等重点人群签约率，提升健康服务水平。</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（三）健全农村社会保障体系</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坚持城乡居民一体化原则，建成覆盖全民、统筹城乡、权责清晰、保障适度、可持续的多层次社会保障体系。大力实施惠民政策，持续完善以最低生活保障、医疗救助、临时救助</w:t>
      </w:r>
      <w:bookmarkStart w:id="363" w:name="_GoBack"/>
      <w:bookmarkEnd w:id="363"/>
      <w:r>
        <w:rPr>
          <w:rFonts w:hint="eastAsia" w:ascii="仿宋_GB2312" w:hAnsi="仿宋_GB2312" w:eastAsia="仿宋_GB2312" w:cs="仿宋_GB2312"/>
          <w:b w:val="0"/>
          <w:bCs/>
          <w:szCs w:val="24"/>
        </w:rPr>
        <w:t>等为主的农村社会保障体系。加强残疾康复服务，建设紫阳县残疾人康复中心。健全低保对象精准认定、精准管理机制，做到有进有出、应保尽保。实施农村贫困人口医保倾斜性政策，切实增强大病保险保障能力。加大临时救助力度，在全县镇政务大厅设立社会救助“一门受理”服务窗口。</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（四）完善农村养老服务体系</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倡导“积极养老、健康养老”理念，构建以居家为基础、社区为依托、机构为补充的农村养老服务格局。加大农村敬老院、幸福院、社会福利院建设投入，到2023年，农村养老机构覆盖80%以上行政村。加强农村幸福院运行管理，支持农村低保家庭和计划生育特殊困难家庭中老年人实行专门救助。推进镇卫生院、村卫生室与农村幸福院开展“医养融合”服务。加强关爱农村老人组织建设，充分发挥农村基层党组织、村委会等作用，壮大志愿关爱农村老人队伍，建立老年学校、老年学习点等，丰富老年生活。</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（五）提升农村防灾减灾救灾能力</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预防为主、防抗救相结合，全面提高抵御洪水、泥石流、滑坡等各类地质灾害能力。加强自然灾害监测预警，开展灾害风险识别与评估，绘制农村灾害风险图，加强灾害应急演练。强化农村救灾应急物资储备体系建设，力争到2023年，救灾物资储备库（室）镇级实现全覆盖。大力推进农村公共消防设施、消防力量和消防安全管理组织建设，改善农村消防安全条件。广泛开展防灾减灾宣传教育，结合“国际减灾日”“全国防灾减灾日”等活动，组织开展形式多样的宣传教育活动，营造全社会共同参与防灾减灾的良好氛围。</w:t>
      </w:r>
    </w:p>
    <w:tbl>
      <w:tblPr>
        <w:tblStyle w:val="1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8558" w:type="dxa"/>
            <w:shd w:val="clear" w:color="auto" w:fill="D0CECE" w:themeFill="background2" w:themeFillShade="E6"/>
            <w:vAlign w:val="center"/>
          </w:tcPr>
          <w:p>
            <w:pPr>
              <w:widowControl/>
              <w:spacing w:line="240" w:lineRule="auto"/>
              <w:ind w:firstLine="0" w:firstLineChars="0"/>
              <w:jc w:val="center"/>
              <w:textAlignment w:val="center"/>
              <w:rPr>
                <w:rFonts w:ascii="宋体" w:hAnsi="宋体" w:eastAsia="宋体" w:cs="宋体"/>
                <w:b w:val="0"/>
                <w:bCs/>
                <w:w w:val="90"/>
                <w:kern w:val="0"/>
                <w:sz w:val="24"/>
              </w:rPr>
            </w:pPr>
            <w:r>
              <w:rPr>
                <w:rFonts w:hint="eastAsia" w:ascii="宋体" w:hAnsi="宋体" w:eastAsia="宋体" w:cs="宋体"/>
                <w:b w:val="0"/>
                <w:bCs/>
                <w:w w:val="90"/>
                <w:kern w:val="0"/>
                <w:sz w:val="24"/>
              </w:rPr>
              <w:t>专栏</w:t>
            </w:r>
            <w:r>
              <w:rPr>
                <w:rFonts w:ascii="宋体" w:hAnsi="宋体" w:eastAsia="宋体" w:cs="宋体"/>
                <w:b w:val="0"/>
                <w:bCs/>
                <w:w w:val="90"/>
                <w:kern w:val="0"/>
                <w:sz w:val="24"/>
              </w:rPr>
              <w:t>1</w:t>
            </w:r>
            <w:r>
              <w:rPr>
                <w:rFonts w:hint="eastAsia" w:ascii="宋体" w:hAnsi="宋体" w:eastAsia="宋体" w:cs="宋体"/>
                <w:b w:val="0"/>
                <w:bCs/>
                <w:w w:val="90"/>
                <w:kern w:val="0"/>
                <w:sz w:val="24"/>
              </w:rPr>
              <w:t>4 民生改善行动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558" w:type="dxa"/>
            <w:vAlign w:val="center"/>
          </w:tcPr>
          <w:p>
            <w:pPr>
              <w:widowControl/>
              <w:spacing w:line="240" w:lineRule="auto"/>
              <w:ind w:firstLine="437"/>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农村职业教育提升行动：编制县域职业教育和成人教育中长期发展规划，建立数量充足、结构合理、专兼结合、相对稳定的职业学校教师队伍。2023年，职教师生比不超过1：20，“双师型”教师占专任教师比例</w:t>
            </w:r>
            <w:r>
              <w:rPr>
                <w:rFonts w:cs="Times New Roman" w:eastAsiaTheme="minorEastAsia"/>
                <w:b w:val="0"/>
                <w:bCs/>
                <w:w w:val="90"/>
                <w:kern w:val="0"/>
                <w:sz w:val="24"/>
              </w:rPr>
              <w:t>不低于60%。</w:t>
            </w:r>
          </w:p>
          <w:p>
            <w:pPr>
              <w:widowControl/>
              <w:spacing w:line="240" w:lineRule="auto"/>
              <w:ind w:firstLine="437"/>
              <w:jc w:val="left"/>
              <w:textAlignment w:val="center"/>
              <w:rPr>
                <w:rFonts w:cs="Times New Roman" w:eastAsiaTheme="minorEastAsia"/>
                <w:b w:val="0"/>
                <w:bCs/>
                <w:w w:val="90"/>
                <w:kern w:val="0"/>
                <w:sz w:val="24"/>
              </w:rPr>
            </w:pPr>
            <w:r>
              <w:rPr>
                <w:rFonts w:hint="eastAsia" w:cs="Times New Roman" w:eastAsiaTheme="minorEastAsia"/>
                <w:b w:val="0"/>
                <w:bCs/>
                <w:w w:val="90"/>
                <w:kern w:val="0"/>
                <w:sz w:val="24"/>
              </w:rPr>
              <w:t>医疗卫生共同体建设行动：组建县人民医院、县中医院医疗共同体，全面整合成员单位人财物，明确各单位功能职责，形成管理、服务、利益、责任和文化相统一的医疗共同体。</w:t>
            </w:r>
          </w:p>
          <w:p>
            <w:pPr>
              <w:widowControl/>
              <w:spacing w:line="240" w:lineRule="auto"/>
              <w:ind w:firstLine="437"/>
              <w:jc w:val="left"/>
              <w:textAlignment w:val="center"/>
              <w:rPr>
                <w:rFonts w:cs="Times New Roman" w:eastAsiaTheme="minorEastAsia"/>
                <w:b w:val="0"/>
                <w:bCs/>
                <w:w w:val="90"/>
                <w:kern w:val="0"/>
                <w:sz w:val="24"/>
              </w:rPr>
            </w:pPr>
            <w:r>
              <w:rPr>
                <w:rFonts w:hint="eastAsia" w:cs="Times New Roman" w:eastAsiaTheme="minorEastAsia"/>
                <w:b w:val="0"/>
                <w:bCs/>
                <w:w w:val="90"/>
                <w:kern w:val="0"/>
                <w:sz w:val="24"/>
              </w:rPr>
              <w:t>养老服务体系完善行动：建设16个社区日间照料中心、1</w:t>
            </w:r>
            <w:r>
              <w:rPr>
                <w:rFonts w:cs="Times New Roman" w:eastAsiaTheme="minorEastAsia"/>
                <w:b w:val="0"/>
                <w:bCs/>
                <w:w w:val="90"/>
                <w:kern w:val="0"/>
                <w:sz w:val="24"/>
              </w:rPr>
              <w:t>75</w:t>
            </w:r>
            <w:r>
              <w:rPr>
                <w:rFonts w:hint="eastAsia" w:cs="Times New Roman" w:eastAsiaTheme="minorEastAsia"/>
                <w:b w:val="0"/>
                <w:bCs/>
                <w:w w:val="90"/>
                <w:kern w:val="0"/>
                <w:sz w:val="24"/>
              </w:rPr>
              <w:t>个农村互助幸福院；新建沿江区域性高端养老社区，配套公共服务设施及辅助设施。</w:t>
            </w:r>
          </w:p>
          <w:p>
            <w:pPr>
              <w:widowControl/>
              <w:spacing w:line="240" w:lineRule="auto"/>
              <w:ind w:firstLine="437"/>
              <w:jc w:val="left"/>
              <w:textAlignment w:val="center"/>
              <w:rPr>
                <w:rFonts w:cs="Times New Roman" w:eastAsiaTheme="minorEastAsia"/>
                <w:b w:val="0"/>
                <w:bCs/>
                <w:w w:val="90"/>
                <w:kern w:val="0"/>
                <w:sz w:val="24"/>
              </w:rPr>
            </w:pPr>
            <w:r>
              <w:rPr>
                <w:rFonts w:hint="eastAsia" w:cs="Times New Roman" w:eastAsiaTheme="minorEastAsia"/>
                <w:b w:val="0"/>
                <w:bCs/>
                <w:w w:val="90"/>
                <w:kern w:val="0"/>
                <w:sz w:val="24"/>
              </w:rPr>
              <w:t>水利防灾救灾能力提升行动：实施瓦房店片区综合治理、汉王镇农安村堤防、西门河5#拦渣坝、高桥权河防洪工程；对县防汛指挥部以及镇防汛指挥部会商室和县级防汛物资储备库进行改造升级，配备必要的办公设施，新装电子显示屏和电子设备、仪器等，提升水利防灾救灾能力。</w:t>
            </w:r>
          </w:p>
        </w:tc>
      </w:tr>
    </w:tbl>
    <w:p>
      <w:pPr>
        <w:ind w:firstLine="640"/>
        <w:outlineLvl w:val="1"/>
        <w:rPr>
          <w:rFonts w:ascii="黑体" w:hAnsi="黑体" w:eastAsia="黑体"/>
          <w:b w:val="0"/>
          <w:bCs/>
        </w:rPr>
      </w:pPr>
      <w:bookmarkStart w:id="280" w:name="_Toc10545930"/>
      <w:bookmarkStart w:id="281" w:name="_Toc12549245"/>
      <w:bookmarkStart w:id="282" w:name="_Toc7946226"/>
      <w:bookmarkStart w:id="283" w:name="_Toc23372"/>
      <w:bookmarkStart w:id="284" w:name="_Toc9761"/>
      <w:bookmarkStart w:id="285" w:name="_Toc25498"/>
      <w:bookmarkStart w:id="286" w:name="_Toc24952"/>
      <w:r>
        <w:rPr>
          <w:rFonts w:hint="eastAsia" w:ascii="黑体" w:hAnsi="黑体" w:eastAsia="黑体"/>
          <w:b w:val="0"/>
          <w:bCs/>
        </w:rPr>
        <w:t>三、</w:t>
      </w:r>
      <w:bookmarkEnd w:id="280"/>
      <w:bookmarkEnd w:id="281"/>
      <w:bookmarkEnd w:id="282"/>
      <w:r>
        <w:rPr>
          <w:rFonts w:hint="eastAsia" w:ascii="黑体" w:hAnsi="黑体" w:eastAsia="黑体"/>
          <w:b w:val="0"/>
          <w:bCs/>
        </w:rPr>
        <w:t>拓宽农民增收创收渠道</w:t>
      </w:r>
      <w:bookmarkEnd w:id="283"/>
      <w:bookmarkEnd w:id="284"/>
      <w:bookmarkEnd w:id="285"/>
      <w:bookmarkEnd w:id="286"/>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（一）挖掘经营性收入增长潜力</w:t>
      </w:r>
    </w:p>
    <w:p>
      <w:pPr>
        <w:overflowPunct w:val="0"/>
        <w:ind w:firstLine="640"/>
        <w:rPr>
          <w:rFonts w:hint="eastAsia" w:ascii="仿宋_GB2312" w:hAnsi="仿宋_GB2312" w:eastAsia="仿宋_GB2312" w:cs="仿宋_GB2312"/>
          <w:b w:val="0"/>
          <w:bCs/>
          <w:szCs w:val="24"/>
        </w:rPr>
      </w:pPr>
      <w:r>
        <w:rPr>
          <w:rFonts w:hint="eastAsia" w:ascii="仿宋_GB2312" w:hAnsi="仿宋_GB2312" w:eastAsia="仿宋_GB2312" w:cs="仿宋_GB2312"/>
          <w:b w:val="0"/>
          <w:bCs/>
          <w:szCs w:val="24"/>
        </w:rPr>
        <w:t>聚焦“降本、增效、减损”三大环节，稳定农民经营性收入。加强农业新品种、新技术引进，推广代耕代种、土地托管等模式，降低作业成本。积极发展高效农业，延伸农产品加工链条，推动产品增值，增加农民收入。积极培育壮大新型农业经营主体，探索茶叶、魔芋、中药材等产业效益最大化的适度规模经营，实现降本增效。支持发展优势特色农产品保险、农村小额信贷保险、扶贫保险、农机保险等业务，保障农民稳定增收。</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（二）加快工资性收入增长速度</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稳妥推进“新社区工厂”建设，坚持内引外联，依托毛绒玩具文创产业等已形成的产业优势，积极引进加工制造、电子商务、物流配送等配套项目。大力支持外出务工人员带业回乡发展，带动农村劳动力就地就近就业。引导龙头企业组建技能合作社、互助协会，鼓励扶持劳务经纪人协会等组织开展技能培训和协作。实施农民工职业技能提升计划，不断提高计划的针对性和有效性。完善就业援助长效机制，强化就业困难人员实名制动态管理，动态消除零就业家庭。</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（三）拓展转移性收入增长空间</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认真落实种粮直补、良种补贴、农机购置补贴、农资综合补贴以及畜禽养殖保险等各类强农惠农政策，严格执行粮食最低收购价政策，充分发挥政策的激励引导作用，调动农民生产的积极性和主动性。积极争取政策性补贴，加大对卫生、教育、社会保障方面的补贴力度。</w:t>
      </w:r>
    </w:p>
    <w:p>
      <w:pPr>
        <w:widowControl/>
        <w:overflowPunct w:val="0"/>
        <w:ind w:firstLine="643"/>
        <w:outlineLvl w:val="2"/>
        <w:rPr>
          <w:rFonts w:ascii="楷体" w:hAnsi="楷体" w:eastAsia="楷体"/>
          <w:b w:val="0"/>
          <w:bCs/>
          <w:szCs w:val="24"/>
        </w:rPr>
      </w:pPr>
      <w:r>
        <w:rPr>
          <w:rFonts w:hint="eastAsia" w:ascii="楷体" w:hAnsi="楷体" w:eastAsia="楷体"/>
          <w:b w:val="0"/>
          <w:bCs/>
          <w:szCs w:val="24"/>
        </w:rPr>
        <w:t>（四）释放财产性收入增长红利</w:t>
      </w: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赋权与护权并重”，拓展农民财产性收入增长渠道。加快建立以产权为纽带、以股份制改造为载体、以盘活资源为核心的农民财产性收入新机制。探索推进农村土地征收、集体经营性建设用地入市改革，积极推动农民住房财产权抵押贷款、林权抵押贷款试点等，赋予农民更加充分的财产权利。规范土地流转行为，引导承包农户与流入方签订全省统一的书面流转合同，保护双方合法权益。</w:t>
      </w:r>
    </w:p>
    <w:p>
      <w:pPr>
        <w:overflowPunct w:val="0"/>
        <w:ind w:firstLine="640"/>
        <w:rPr>
          <w:rFonts w:ascii="仿宋_GB2312" w:hAnsi="仿宋_GB2312" w:eastAsia="仿宋_GB2312" w:cs="仿宋_GB2312"/>
          <w:b w:val="0"/>
          <w:bCs/>
          <w:szCs w:val="24"/>
        </w:rPr>
        <w:sectPr>
          <w:footerReference r:id="rId30" w:type="first"/>
          <w:footerReference r:id="rId29"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bookmarkStart w:id="287" w:name="_Toc7946248"/>
      <w:bookmarkStart w:id="288" w:name="_Toc10545952"/>
      <w:bookmarkStart w:id="289" w:name="_Toc12549249"/>
      <w:bookmarkStart w:id="290" w:name="_Toc21421"/>
    </w:p>
    <w:p>
      <w:pPr>
        <w:adjustRightInd w:val="0"/>
        <w:snapToGrid w:val="0"/>
        <w:spacing w:before="120" w:beforeLines="50" w:after="120" w:afterLines="50" w:line="360" w:lineRule="auto"/>
        <w:ind w:firstLine="0" w:firstLineChars="0"/>
        <w:jc w:val="center"/>
        <w:outlineLvl w:val="0"/>
        <w:rPr>
          <w:rFonts w:ascii="黑体" w:hAnsi="黑体" w:eastAsia="黑体"/>
          <w:b w:val="0"/>
          <w:bCs/>
          <w:szCs w:val="32"/>
        </w:rPr>
      </w:pPr>
      <w:bookmarkStart w:id="291" w:name="_Toc7809"/>
      <w:bookmarkStart w:id="292" w:name="_Toc19691"/>
      <w:bookmarkStart w:id="293" w:name="_Toc8439"/>
      <w:r>
        <w:rPr>
          <w:rFonts w:hint="eastAsia" w:ascii="黑体" w:hAnsi="黑体" w:eastAsia="黑体"/>
          <w:b w:val="0"/>
          <w:bCs/>
          <w:szCs w:val="32"/>
        </w:rPr>
        <w:t xml:space="preserve">第十一章 </w:t>
      </w:r>
      <w:bookmarkEnd w:id="287"/>
      <w:bookmarkEnd w:id="288"/>
      <w:bookmarkEnd w:id="289"/>
      <w:r>
        <w:rPr>
          <w:rFonts w:hint="eastAsia" w:ascii="黑体" w:hAnsi="黑体" w:eastAsia="黑体"/>
          <w:b w:val="0"/>
          <w:bCs/>
          <w:szCs w:val="32"/>
        </w:rPr>
        <w:t>加强要素保障 有序推进</w:t>
      </w:r>
      <w:bookmarkEnd w:id="290"/>
      <w:r>
        <w:rPr>
          <w:rFonts w:hint="eastAsia" w:ascii="黑体" w:hAnsi="黑体" w:eastAsia="黑体"/>
          <w:b w:val="0"/>
          <w:bCs/>
          <w:szCs w:val="32"/>
        </w:rPr>
        <w:t>规划落实</w:t>
      </w:r>
      <w:bookmarkEnd w:id="291"/>
      <w:bookmarkEnd w:id="292"/>
      <w:bookmarkEnd w:id="293"/>
    </w:p>
    <w:p>
      <w:pPr>
        <w:ind w:firstLine="640"/>
        <w:outlineLvl w:val="1"/>
        <w:rPr>
          <w:rFonts w:ascii="黑体" w:hAnsi="黑体" w:eastAsia="黑体"/>
          <w:b w:val="0"/>
          <w:bCs/>
        </w:rPr>
      </w:pPr>
      <w:bookmarkStart w:id="294" w:name="_Toc29009"/>
      <w:bookmarkStart w:id="295" w:name="_Toc4162310"/>
      <w:bookmarkStart w:id="296" w:name="_Toc10545953"/>
      <w:bookmarkStart w:id="297" w:name="_Toc7946249"/>
      <w:bookmarkStart w:id="298" w:name="_Toc12549250"/>
      <w:bookmarkStart w:id="299" w:name="_Toc4238"/>
      <w:bookmarkStart w:id="300" w:name="_Toc3803"/>
      <w:bookmarkStart w:id="301" w:name="_Toc10314"/>
      <w:r>
        <w:rPr>
          <w:rFonts w:hint="eastAsia" w:ascii="黑体" w:hAnsi="黑体" w:eastAsia="黑体"/>
          <w:b w:val="0"/>
          <w:bCs/>
        </w:rPr>
        <w:t>一、强化组织</w:t>
      </w:r>
      <w:bookmarkEnd w:id="294"/>
      <w:bookmarkEnd w:id="295"/>
      <w:bookmarkEnd w:id="296"/>
      <w:bookmarkEnd w:id="297"/>
      <w:bookmarkEnd w:id="298"/>
      <w:r>
        <w:rPr>
          <w:rFonts w:hint="eastAsia" w:ascii="黑体" w:hAnsi="黑体" w:eastAsia="黑体"/>
          <w:b w:val="0"/>
          <w:bCs/>
        </w:rPr>
        <w:t>领导</w:t>
      </w:r>
      <w:bookmarkEnd w:id="299"/>
      <w:bookmarkEnd w:id="300"/>
      <w:bookmarkEnd w:id="301"/>
    </w:p>
    <w:p>
      <w:pPr>
        <w:widowControl/>
        <w:overflowPunct w:val="0"/>
        <w:ind w:firstLine="643"/>
        <w:outlineLvl w:val="2"/>
        <w:rPr>
          <w:rFonts w:ascii="楷体" w:hAnsi="楷体" w:eastAsia="楷体"/>
          <w:b w:val="0"/>
          <w:bCs/>
          <w:szCs w:val="24"/>
        </w:rPr>
      </w:pPr>
      <w:bookmarkStart w:id="302" w:name="_Toc10545954"/>
      <w:bookmarkStart w:id="303" w:name="_Toc7946250"/>
      <w:bookmarkStart w:id="304" w:name="_Toc12549251"/>
      <w:bookmarkStart w:id="305" w:name="_Toc4162311"/>
      <w:r>
        <w:rPr>
          <w:rFonts w:hint="eastAsia" w:ascii="楷体" w:hAnsi="楷体" w:eastAsia="楷体"/>
          <w:b w:val="0"/>
          <w:bCs/>
          <w:szCs w:val="24"/>
        </w:rPr>
        <w:t>（一）加强党的领导</w:t>
      </w:r>
      <w:bookmarkEnd w:id="302"/>
      <w:bookmarkEnd w:id="303"/>
      <w:bookmarkEnd w:id="304"/>
      <w:bookmarkEnd w:id="305"/>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建立健全党委统一领导、政府负责、党委农村工作部门统筹协调的农村工作领导机制。成立紫阳县乡村振兴战略实施工作领导小组，组长由县委书记担任，副组长由县长、专职副书记以及主管农业农村工作的副县长担任，成员由各相关部门、镇党政主要负责人组成，领导小组办公室设在县农业农村局，负责日常具体工作。</w:t>
      </w:r>
    </w:p>
    <w:p>
      <w:pPr>
        <w:widowControl/>
        <w:overflowPunct w:val="0"/>
        <w:ind w:firstLine="643"/>
        <w:outlineLvl w:val="2"/>
        <w:rPr>
          <w:rFonts w:ascii="楷体" w:hAnsi="楷体" w:eastAsia="楷体"/>
          <w:b w:val="0"/>
          <w:bCs/>
          <w:szCs w:val="24"/>
        </w:rPr>
      </w:pPr>
      <w:bookmarkStart w:id="306" w:name="_Toc10545955"/>
      <w:bookmarkStart w:id="307" w:name="_Toc7946251"/>
      <w:bookmarkStart w:id="308" w:name="_Toc12549252"/>
      <w:bookmarkStart w:id="309" w:name="_Toc4162312"/>
      <w:r>
        <w:rPr>
          <w:rFonts w:hint="eastAsia" w:ascii="楷体" w:hAnsi="楷体" w:eastAsia="楷体"/>
          <w:b w:val="0"/>
          <w:bCs/>
          <w:szCs w:val="24"/>
        </w:rPr>
        <w:t>（二）落实各方责任</w:t>
      </w:r>
      <w:bookmarkEnd w:id="306"/>
      <w:bookmarkEnd w:id="307"/>
      <w:bookmarkEnd w:id="308"/>
      <w:bookmarkEnd w:id="309"/>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坚持领导干部联系点制度，县级领导要发挥联系镇村的作用，加强对所联系镇村的具体指导。充分发挥基层党组织的战斗堡垒作用和党员先锋模范作用，镇党委书记对涉及乡村振兴的重大政策、重大投入、重大项目、重大工作要亲自研究亲自部署，履行好第一责任人职责。充分发挥村级党支部书记的作用，切实为乡村振兴献计出力。</w:t>
      </w:r>
    </w:p>
    <w:p>
      <w:pPr>
        <w:ind w:firstLine="640"/>
        <w:outlineLvl w:val="1"/>
        <w:rPr>
          <w:rFonts w:ascii="黑体" w:hAnsi="黑体" w:eastAsia="黑体"/>
          <w:b w:val="0"/>
          <w:bCs/>
        </w:rPr>
      </w:pPr>
      <w:bookmarkStart w:id="310" w:name="_Toc10545956"/>
      <w:bookmarkStart w:id="311" w:name="_Toc12549253"/>
      <w:bookmarkStart w:id="312" w:name="_Toc7946252"/>
      <w:bookmarkStart w:id="313" w:name="_Toc3977"/>
      <w:bookmarkStart w:id="314" w:name="_Toc4162313"/>
      <w:bookmarkStart w:id="315" w:name="_Toc17043"/>
      <w:bookmarkStart w:id="316" w:name="_Toc13873"/>
      <w:bookmarkStart w:id="317" w:name="_Toc32420"/>
      <w:r>
        <w:rPr>
          <w:rFonts w:hint="eastAsia" w:ascii="黑体" w:hAnsi="黑体" w:eastAsia="黑体"/>
          <w:b w:val="0"/>
          <w:bCs/>
        </w:rPr>
        <w:t>二、加强要素</w:t>
      </w:r>
      <w:bookmarkEnd w:id="310"/>
      <w:bookmarkEnd w:id="311"/>
      <w:bookmarkEnd w:id="312"/>
      <w:bookmarkEnd w:id="313"/>
      <w:bookmarkEnd w:id="314"/>
      <w:r>
        <w:rPr>
          <w:rFonts w:hint="eastAsia" w:ascii="黑体" w:hAnsi="黑体" w:eastAsia="黑体"/>
          <w:b w:val="0"/>
          <w:bCs/>
        </w:rPr>
        <w:t>支撑</w:t>
      </w:r>
      <w:bookmarkEnd w:id="315"/>
      <w:bookmarkEnd w:id="316"/>
      <w:bookmarkEnd w:id="317"/>
    </w:p>
    <w:p>
      <w:pPr>
        <w:widowControl/>
        <w:overflowPunct w:val="0"/>
        <w:ind w:firstLine="643"/>
        <w:outlineLvl w:val="2"/>
        <w:rPr>
          <w:rFonts w:ascii="楷体" w:hAnsi="楷体" w:eastAsia="楷体"/>
          <w:b w:val="0"/>
          <w:bCs/>
          <w:szCs w:val="24"/>
        </w:rPr>
      </w:pPr>
      <w:bookmarkStart w:id="318" w:name="_Toc4162314"/>
      <w:bookmarkStart w:id="319" w:name="_Toc532389320"/>
      <w:bookmarkStart w:id="320" w:name="_Toc10545957"/>
      <w:bookmarkStart w:id="321" w:name="_Toc12549254"/>
      <w:bookmarkStart w:id="322" w:name="_Toc7946253"/>
      <w:r>
        <w:rPr>
          <w:rFonts w:hint="eastAsia" w:ascii="楷体" w:hAnsi="楷体" w:eastAsia="楷体"/>
          <w:b w:val="0"/>
          <w:bCs/>
          <w:szCs w:val="24"/>
        </w:rPr>
        <w:t>（一）资金保障</w:t>
      </w:r>
      <w:bookmarkEnd w:id="318"/>
      <w:bookmarkEnd w:id="319"/>
      <w:bookmarkEnd w:id="320"/>
      <w:bookmarkEnd w:id="321"/>
      <w:bookmarkEnd w:id="322"/>
    </w:p>
    <w:p>
      <w:pPr>
        <w:tabs>
          <w:tab w:val="right" w:leader="dot" w:pos="8306"/>
        </w:tabs>
        <w:overflowPunct w:val="0"/>
        <w:ind w:firstLine="643"/>
        <w:rPr>
          <w:rFonts w:ascii="仿宋_GB2312" w:hAnsi="仿宋_GB2312" w:eastAsia="仿宋_GB2312" w:cs="仿宋_GB2312"/>
          <w:b w:val="0"/>
          <w:bCs/>
          <w:szCs w:val="24"/>
        </w:rPr>
      </w:pPr>
      <w:r>
        <w:rPr>
          <w:rFonts w:hint="eastAsia" w:ascii="楷体_GB2312" w:hAnsi="楷体_GB2312" w:eastAsia="楷体_GB2312" w:cs="楷体_GB2312"/>
          <w:b w:val="0"/>
          <w:bCs/>
          <w:szCs w:val="32"/>
        </w:rPr>
        <w:t>整合使用建设资金。</w:t>
      </w:r>
      <w:r>
        <w:rPr>
          <w:rFonts w:hint="eastAsia" w:ascii="仿宋_GB2312" w:hAnsi="仿宋_GB2312" w:eastAsia="仿宋_GB2312" w:cs="仿宋_GB2312"/>
          <w:b w:val="0"/>
          <w:bCs/>
          <w:szCs w:val="24"/>
        </w:rPr>
        <w:t>通过“专项资金配套一点、涉农部门整合一点、单位部门帮扶一点、村集体自筹一点、社会力量捐赠一点”的方式，多方筹集资金。采取“大干大支持、小干小支持、不干不支持”的方式，建立竞争性资金分配和激励机制，充分调动企业、合作社、种养殖大户发展农业产业的主动性和积极性。加大资金监管力度，做到专款专用，提高资金使用效益。</w:t>
      </w:r>
    </w:p>
    <w:p>
      <w:pPr>
        <w:overflowPunct w:val="0"/>
        <w:ind w:firstLine="643"/>
        <w:rPr>
          <w:rFonts w:ascii="仿宋_GB2312" w:hAnsi="仿宋_GB2312" w:eastAsia="仿宋_GB2312" w:cs="仿宋_GB2312"/>
          <w:b w:val="0"/>
          <w:bCs/>
          <w:szCs w:val="24"/>
        </w:rPr>
      </w:pPr>
      <w:r>
        <w:rPr>
          <w:rFonts w:hint="eastAsia" w:ascii="楷体_GB2312" w:hAnsi="楷体_GB2312" w:eastAsia="楷体_GB2312" w:cs="楷体_GB2312"/>
          <w:b w:val="0"/>
          <w:bCs/>
          <w:szCs w:val="32"/>
        </w:rPr>
        <w:t>加大金融支农力度。</w:t>
      </w:r>
      <w:r>
        <w:rPr>
          <w:rFonts w:hint="eastAsia" w:ascii="仿宋_GB2312" w:hAnsi="仿宋_GB2312" w:eastAsia="仿宋_GB2312" w:cs="仿宋_GB2312"/>
          <w:b w:val="0"/>
          <w:bCs/>
          <w:szCs w:val="24"/>
        </w:rPr>
        <w:t>丰富金融产品和服务，确保农村“三权”抵质押贷款余额同比增长10%以上。创新绿色金融产品，每年新增信贷产品2个以上。推进农业政策性保险扩面、增品、提标，开发农产品价格指数保险等农业保险。深化与银行、保险公司、担保公司等机构的合作，重点围绕产业扶持，做好金融支农服务，帮助解决融资难题，每年力争解决贷款3000万元以上。</w:t>
      </w:r>
    </w:p>
    <w:p>
      <w:pPr>
        <w:widowControl/>
        <w:overflowPunct w:val="0"/>
        <w:ind w:firstLine="643"/>
        <w:outlineLvl w:val="2"/>
        <w:rPr>
          <w:rFonts w:ascii="楷体" w:hAnsi="楷体" w:eastAsia="楷体"/>
          <w:b w:val="0"/>
          <w:bCs/>
          <w:szCs w:val="24"/>
        </w:rPr>
      </w:pPr>
      <w:bookmarkStart w:id="323" w:name="_Toc7946254"/>
      <w:bookmarkStart w:id="324" w:name="_Toc10545958"/>
      <w:bookmarkStart w:id="325" w:name="_Toc532389321"/>
      <w:bookmarkStart w:id="326" w:name="_Toc4162315"/>
      <w:bookmarkStart w:id="327" w:name="_Toc12549255"/>
      <w:r>
        <w:rPr>
          <w:rFonts w:hint="eastAsia" w:ascii="楷体" w:hAnsi="楷体" w:eastAsia="楷体"/>
          <w:b w:val="0"/>
          <w:bCs/>
          <w:szCs w:val="24"/>
        </w:rPr>
        <w:t>（二）项目保障</w:t>
      </w:r>
      <w:bookmarkEnd w:id="323"/>
      <w:bookmarkEnd w:id="324"/>
      <w:bookmarkEnd w:id="325"/>
      <w:bookmarkEnd w:id="326"/>
      <w:bookmarkEnd w:id="327"/>
    </w:p>
    <w:p>
      <w:pPr>
        <w:overflowPunct w:val="0"/>
        <w:ind w:firstLine="643"/>
        <w:rPr>
          <w:rFonts w:ascii="宋体" w:hAnsi="宋体" w:eastAsia="宋体" w:cstheme="minorEastAsia"/>
          <w:b w:val="0"/>
          <w:bCs/>
          <w:szCs w:val="32"/>
        </w:rPr>
      </w:pPr>
      <w:r>
        <w:rPr>
          <w:rFonts w:hint="eastAsia" w:ascii="楷体_GB2312" w:hAnsi="楷体_GB2312" w:eastAsia="楷体_GB2312" w:cs="楷体_GB2312"/>
          <w:b w:val="0"/>
          <w:bCs/>
          <w:szCs w:val="32"/>
        </w:rPr>
        <w:t>加强项目跟踪服务。</w:t>
      </w:r>
      <w:r>
        <w:rPr>
          <w:rFonts w:hint="eastAsia" w:ascii="宋体" w:hAnsi="宋体" w:eastAsia="宋体" w:cs="宋体"/>
          <w:b w:val="0"/>
          <w:bCs/>
          <w:szCs w:val="32"/>
        </w:rPr>
        <w:t>建</w:t>
      </w:r>
      <w:r>
        <w:rPr>
          <w:rFonts w:hint="eastAsia" w:ascii="仿宋_GB2312" w:hAnsi="仿宋_GB2312" w:eastAsia="仿宋_GB2312" w:cs="仿宋_GB2312"/>
          <w:b w:val="0"/>
          <w:bCs/>
          <w:szCs w:val="24"/>
        </w:rPr>
        <w:t>立领导干部和责任单位包抓项目工作责任制，定期深入项目现场，及时掌握项目进展情况，做好项目协调服务。县乡村振兴领导小组办公室要主动与项目业主单位和相关审批部门对接、沟通，积极协调解决项目推进中遇到的问题，落细落小落实项目推进措施，保障项目进度</w:t>
      </w:r>
      <w:r>
        <w:rPr>
          <w:rFonts w:hint="eastAsia" w:ascii="宋体" w:hAnsi="宋体" w:eastAsia="宋体" w:cs="宋体"/>
          <w:b w:val="0"/>
          <w:bCs/>
          <w:szCs w:val="32"/>
        </w:rPr>
        <w:t>。</w:t>
      </w:r>
    </w:p>
    <w:p>
      <w:pPr>
        <w:overflowPunct w:val="0"/>
        <w:ind w:firstLine="643"/>
        <w:rPr>
          <w:rFonts w:ascii="仿宋_GB2312" w:hAnsi="仿宋_GB2312" w:eastAsia="仿宋_GB2312" w:cs="仿宋_GB2312"/>
          <w:b w:val="0"/>
          <w:bCs/>
          <w:szCs w:val="24"/>
        </w:rPr>
      </w:pPr>
      <w:r>
        <w:rPr>
          <w:rFonts w:hint="eastAsia" w:ascii="楷体_GB2312" w:hAnsi="楷体_GB2312" w:eastAsia="楷体_GB2312" w:cs="楷体_GB2312"/>
          <w:b w:val="0"/>
          <w:bCs/>
          <w:szCs w:val="32"/>
        </w:rPr>
        <w:t>推进项目联合审批。</w:t>
      </w:r>
      <w:r>
        <w:rPr>
          <w:rFonts w:hint="eastAsia" w:ascii="仿宋_GB2312" w:hAnsi="仿宋_GB2312" w:eastAsia="仿宋_GB2312" w:cs="仿宋_GB2312"/>
          <w:b w:val="0"/>
          <w:bCs/>
          <w:szCs w:val="24"/>
        </w:rPr>
        <w:t>深化项目审批制度改革，加强对项目审批工作的管理、指导、检查、监督，按照简政放权的要求，简化审批程序，压缩审批时限。对大项目、新项目，可采取前期工作预审形式，邀请相关部门提前介入，共同参与项目策划、论证、协同审批。</w:t>
      </w:r>
    </w:p>
    <w:p>
      <w:pPr>
        <w:widowControl/>
        <w:overflowPunct w:val="0"/>
        <w:ind w:firstLine="643"/>
        <w:outlineLvl w:val="2"/>
        <w:rPr>
          <w:rFonts w:ascii="楷体" w:hAnsi="楷体" w:eastAsia="楷体"/>
          <w:b w:val="0"/>
          <w:bCs/>
          <w:szCs w:val="24"/>
        </w:rPr>
      </w:pPr>
      <w:bookmarkStart w:id="328" w:name="_Toc12549256"/>
      <w:bookmarkStart w:id="329" w:name="_Toc10545959"/>
      <w:bookmarkStart w:id="330" w:name="_Toc7946255"/>
      <w:bookmarkStart w:id="331" w:name="_Toc4162316"/>
      <w:bookmarkStart w:id="332" w:name="_Toc532389322"/>
      <w:r>
        <w:rPr>
          <w:rFonts w:hint="eastAsia" w:ascii="楷体" w:hAnsi="楷体" w:eastAsia="楷体"/>
          <w:b w:val="0"/>
          <w:bCs/>
          <w:szCs w:val="24"/>
        </w:rPr>
        <w:t>（三）用地保障</w:t>
      </w:r>
      <w:bookmarkEnd w:id="328"/>
      <w:bookmarkEnd w:id="329"/>
      <w:bookmarkEnd w:id="330"/>
      <w:bookmarkEnd w:id="331"/>
      <w:bookmarkEnd w:id="332"/>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完善农村新增用地保障机制，年度新增建设用地计划指标切块用于支持住房建设和农村产业发展。在控制农村建设用地总量、不占用永久基本农田的前提下，着力盘活农村存量建设用地用于发展特色小镇和田园综合体等建设项目。积极开展村级土地利用规划编制工作，加强农村土地利用供给精细化管理。落实改进耕地占补平衡管理办法，加大农村存量建设用地盘活整治力度，做好城乡建设用地增减挂钩和工矿废弃土地复垦利用，为农村发展拓展用地空间。</w:t>
      </w:r>
    </w:p>
    <w:p>
      <w:pPr>
        <w:widowControl/>
        <w:overflowPunct w:val="0"/>
        <w:ind w:firstLine="643"/>
        <w:outlineLvl w:val="2"/>
        <w:rPr>
          <w:rFonts w:ascii="楷体" w:hAnsi="楷体" w:eastAsia="楷体"/>
          <w:b w:val="0"/>
          <w:bCs/>
          <w:szCs w:val="24"/>
        </w:rPr>
      </w:pPr>
      <w:bookmarkStart w:id="333" w:name="_Toc10545960"/>
      <w:bookmarkStart w:id="334" w:name="_Toc12549257"/>
      <w:bookmarkStart w:id="335" w:name="_Toc4162317"/>
      <w:bookmarkStart w:id="336" w:name="_Toc7946256"/>
      <w:r>
        <w:rPr>
          <w:rFonts w:hint="eastAsia" w:ascii="楷体" w:hAnsi="楷体" w:eastAsia="楷体"/>
          <w:b w:val="0"/>
          <w:bCs/>
          <w:szCs w:val="24"/>
        </w:rPr>
        <w:t>（四）机制保障</w:t>
      </w:r>
      <w:bookmarkEnd w:id="333"/>
      <w:bookmarkEnd w:id="334"/>
      <w:bookmarkEnd w:id="335"/>
      <w:bookmarkEnd w:id="336"/>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研究落实相关政策，审查规划实施过程中的调整事项，协调解决规划实施涉及的重大问题等。树立“一盘棋”“一张图”理念，聚焦乡村振兴战略实施的路线图、时间表、任务书，健全工作推进机制，落实各镇主体责任，督促各部门履行职能，强化资源要素支持和制度供给，协同配合，形成乡村振兴工作合力。</w:t>
      </w:r>
    </w:p>
    <w:p>
      <w:pPr>
        <w:ind w:firstLine="640"/>
        <w:outlineLvl w:val="1"/>
        <w:rPr>
          <w:rFonts w:ascii="黑体" w:hAnsi="黑体" w:eastAsia="黑体"/>
          <w:b w:val="0"/>
          <w:bCs/>
        </w:rPr>
      </w:pPr>
      <w:bookmarkStart w:id="337" w:name="_Toc8518"/>
      <w:bookmarkStart w:id="338" w:name="_Toc12549259"/>
      <w:bookmarkStart w:id="339" w:name="_Toc10545962"/>
      <w:bookmarkStart w:id="340" w:name="_Toc7946258"/>
      <w:bookmarkStart w:id="341" w:name="_Toc1408"/>
      <w:bookmarkStart w:id="342" w:name="_Toc4162318"/>
      <w:bookmarkStart w:id="343" w:name="_Toc5033"/>
      <w:bookmarkStart w:id="344" w:name="_Toc31522"/>
      <w:bookmarkStart w:id="345" w:name="_Toc518236300"/>
      <w:r>
        <w:rPr>
          <w:rFonts w:hint="eastAsia" w:ascii="黑体" w:hAnsi="黑体" w:eastAsia="黑体"/>
          <w:b w:val="0"/>
          <w:bCs/>
        </w:rPr>
        <w:t>三、严格督导落实</w:t>
      </w:r>
      <w:bookmarkEnd w:id="337"/>
      <w:bookmarkEnd w:id="338"/>
      <w:bookmarkEnd w:id="339"/>
      <w:bookmarkEnd w:id="340"/>
      <w:bookmarkEnd w:id="341"/>
      <w:bookmarkEnd w:id="342"/>
      <w:bookmarkEnd w:id="343"/>
      <w:bookmarkEnd w:id="344"/>
      <w:bookmarkEnd w:id="345"/>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加强对乡村振兴战略规划实施情况的考核监督和激励约束，调动各级各部门贯彻落实规划的积极性和主动性。建立镇党政班子和领导干部推进乡村振兴战略的实绩考核制度，定期开展考核、检查，将考核结果作为选拔任用领导干部的重要依据。各镇党委、政府每年要向县委、县政府专题报告乡村振兴战略实施进展情况。</w:t>
      </w:r>
    </w:p>
    <w:p>
      <w:pPr>
        <w:ind w:firstLine="640"/>
        <w:outlineLvl w:val="1"/>
        <w:rPr>
          <w:rFonts w:ascii="黑体" w:hAnsi="黑体" w:eastAsia="黑体"/>
          <w:b w:val="0"/>
          <w:bCs/>
        </w:rPr>
      </w:pPr>
      <w:bookmarkStart w:id="346" w:name="_Toc9290"/>
      <w:bookmarkStart w:id="347" w:name="_Toc7946259"/>
      <w:bookmarkStart w:id="348" w:name="_Toc14069"/>
      <w:bookmarkStart w:id="349" w:name="_Toc10545963"/>
      <w:bookmarkStart w:id="350" w:name="_Toc16032"/>
      <w:bookmarkStart w:id="351" w:name="_Toc12549260"/>
      <w:bookmarkStart w:id="352" w:name="_Toc24166"/>
      <w:bookmarkStart w:id="353" w:name="_Toc4162319"/>
      <w:bookmarkStart w:id="354" w:name="_Toc518236301"/>
      <w:r>
        <w:rPr>
          <w:rFonts w:hint="eastAsia" w:ascii="黑体" w:hAnsi="黑体" w:eastAsia="黑体"/>
          <w:b w:val="0"/>
          <w:bCs/>
        </w:rPr>
        <w:t>四、营造良好环境</w:t>
      </w:r>
      <w:bookmarkEnd w:id="346"/>
      <w:bookmarkEnd w:id="347"/>
      <w:bookmarkEnd w:id="348"/>
      <w:bookmarkEnd w:id="349"/>
      <w:bookmarkEnd w:id="350"/>
      <w:bookmarkEnd w:id="351"/>
      <w:bookmarkEnd w:id="352"/>
      <w:bookmarkEnd w:id="353"/>
      <w:bookmarkEnd w:id="354"/>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尊重群众和基层首创精神，鼓励先行先试、开拓创新，激发乡村发展内生动力，形成群众群策群力、共建共享的乡村振兴局面。坚持用树立典型的办法抓乡村振兴，把抓典型作为行之有效的推进路径，及时总结宣传推广基层的乡村振兴典型经验。强化工作法治保障，运用法治思维和法治方式推进乡村振兴工作，严格执行现行涉农法律法规，提高规范化、制度化、法治化水平。</w:t>
      </w:r>
    </w:p>
    <w:p>
      <w:pPr>
        <w:overflowPunct w:val="0"/>
        <w:ind w:firstLine="640"/>
        <w:rPr>
          <w:rFonts w:hint="eastAsia" w:ascii="仿宋_GB2312" w:hAnsi="仿宋_GB2312" w:eastAsia="仿宋_GB2312" w:cs="仿宋_GB2312"/>
          <w:b w:val="0"/>
          <w:bCs/>
          <w:szCs w:val="24"/>
        </w:rPr>
      </w:pPr>
    </w:p>
    <w:p>
      <w:pPr>
        <w:overflowPunct w:val="0"/>
        <w:ind w:firstLine="640"/>
        <w:rPr>
          <w:rFonts w:ascii="仿宋_GB2312" w:hAnsi="仿宋_GB2312" w:eastAsia="仿宋_GB2312" w:cs="仿宋_GB2312"/>
          <w:b w:val="0"/>
          <w:bCs/>
          <w:szCs w:val="24"/>
        </w:rPr>
      </w:pPr>
      <w:r>
        <w:rPr>
          <w:rFonts w:hint="eastAsia" w:ascii="仿宋_GB2312" w:hAnsi="仿宋_GB2312" w:eastAsia="仿宋_GB2312" w:cs="仿宋_GB2312"/>
          <w:b w:val="0"/>
          <w:bCs/>
          <w:szCs w:val="24"/>
        </w:rPr>
        <w:t>附件：紫阳县乡村振兴重点项目计划表</w:t>
      </w:r>
    </w:p>
    <w:p>
      <w:pPr>
        <w:overflowPunct w:val="0"/>
        <w:ind w:left="0" w:leftChars="0" w:firstLine="0" w:firstLineChars="0"/>
        <w:rPr>
          <w:rFonts w:ascii="宋体" w:hAnsi="宋体" w:eastAsia="宋体" w:cs="宋体"/>
          <w:b w:val="0"/>
          <w:bCs/>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pStyle w:val="2"/>
        <w:ind w:left="0" w:leftChars="0" w:firstLine="0" w:firstLineChars="0"/>
        <w:rPr>
          <w:rFonts w:ascii="宋体" w:hAnsi="宋体" w:eastAsia="宋体" w:cs="宋体"/>
          <w:b w:val="0"/>
          <w:bCs/>
          <w:sz w:val="32"/>
          <w:szCs w:val="32"/>
        </w:rPr>
      </w:pPr>
    </w:p>
    <w:p>
      <w:pPr>
        <w:spacing w:line="560" w:lineRule="exact"/>
        <w:ind w:firstLine="0" w:firstLineChars="0"/>
        <w:rPr>
          <w:rFonts w:hint="eastAsia" w:ascii="楷体" w:hAnsi="楷体" w:eastAsia="楷体" w:cs="楷体"/>
          <w:b w:val="0"/>
          <w:bCs/>
          <w:szCs w:val="32"/>
        </w:rPr>
      </w:pPr>
    </w:p>
    <w:p>
      <w:pPr>
        <w:pStyle w:val="2"/>
        <w:ind w:left="0" w:leftChars="0" w:firstLine="0" w:firstLineChars="0"/>
        <w:rPr>
          <w:rFonts w:hint="eastAsia" w:ascii="楷体" w:hAnsi="楷体" w:eastAsia="楷体" w:cs="楷体"/>
          <w:b w:val="0"/>
          <w:bCs/>
          <w:szCs w:val="32"/>
        </w:rPr>
      </w:pPr>
    </w:p>
    <w:p>
      <w:pPr>
        <w:pStyle w:val="2"/>
        <w:ind w:left="0" w:leftChars="0" w:firstLine="0" w:firstLineChars="0"/>
        <w:rPr>
          <w:rFonts w:hint="eastAsia" w:ascii="楷体" w:hAnsi="楷体" w:eastAsia="楷体" w:cs="楷体"/>
          <w:b w:val="0"/>
          <w:bCs/>
          <w:szCs w:val="32"/>
        </w:rPr>
        <w:sectPr>
          <w:footerReference r:id="rId32" w:type="first"/>
          <w:footerReference r:id="rId31" w:type="default"/>
          <w:pgSz w:w="11906" w:h="16838"/>
          <w:pgMar w:top="1985" w:right="1588" w:bottom="1985" w:left="1588" w:header="794" w:footer="992" w:gutter="0"/>
          <w:pgBorders>
            <w:top w:val="none" w:sz="0" w:space="0"/>
            <w:left w:val="none" w:sz="0" w:space="0"/>
            <w:bottom w:val="none" w:sz="0" w:space="0"/>
            <w:right w:val="none" w:sz="0" w:space="0"/>
          </w:pgBorders>
          <w:pgNumType w:fmt="numberInDash"/>
          <w:cols w:space="425" w:num="1"/>
          <w:titlePg/>
          <w:docGrid w:linePitch="312" w:charSpace="0"/>
        </w:sectPr>
      </w:pPr>
    </w:p>
    <w:p>
      <w:pPr>
        <w:spacing w:before="120" w:beforeLines="50" w:after="120" w:afterLines="50" w:line="360" w:lineRule="auto"/>
        <w:ind w:firstLine="0" w:firstLineChars="0"/>
        <w:jc w:val="center"/>
        <w:outlineLvl w:val="0"/>
        <w:rPr>
          <w:rFonts w:ascii="宋体" w:hAnsi="宋体" w:eastAsia="宋体"/>
          <w:b w:val="0"/>
          <w:bCs/>
          <w:szCs w:val="32"/>
        </w:rPr>
      </w:pPr>
      <w:bookmarkStart w:id="355" w:name="_Toc7946260"/>
      <w:bookmarkStart w:id="356" w:name="_Toc22485"/>
      <w:bookmarkStart w:id="357" w:name="_Toc9991"/>
      <w:bookmarkStart w:id="358" w:name="_Toc24196"/>
      <w:bookmarkStart w:id="359" w:name="_Toc10545964"/>
      <w:bookmarkStart w:id="360" w:name="_Toc12549261"/>
      <w:bookmarkStart w:id="361" w:name="_Toc8130"/>
      <w:r>
        <w:rPr>
          <w:rFonts w:hint="eastAsia" w:ascii="宋体" w:hAnsi="宋体" w:eastAsia="宋体"/>
          <w:b w:val="0"/>
          <w:bCs/>
          <w:szCs w:val="32"/>
        </w:rPr>
        <w:t>附件</w:t>
      </w:r>
      <w:r>
        <w:rPr>
          <w:rFonts w:ascii="宋体" w:hAnsi="宋体" w:eastAsia="宋体"/>
          <w:b w:val="0"/>
          <w:bCs/>
          <w:szCs w:val="32"/>
        </w:rPr>
        <w:t>：</w:t>
      </w:r>
      <w:r>
        <w:rPr>
          <w:rFonts w:eastAsia="宋体" w:cs="Times New Roman"/>
          <w:b w:val="0"/>
          <w:bCs/>
          <w:szCs w:val="32"/>
        </w:rPr>
        <w:t>紫阳县乡</w:t>
      </w:r>
      <w:r>
        <w:rPr>
          <w:rFonts w:ascii="宋体" w:hAnsi="宋体" w:eastAsia="宋体"/>
          <w:b w:val="0"/>
          <w:bCs/>
          <w:szCs w:val="32"/>
        </w:rPr>
        <w:t>村振兴重点项目</w:t>
      </w:r>
      <w:r>
        <w:rPr>
          <w:rFonts w:hint="eastAsia" w:ascii="宋体" w:hAnsi="宋体" w:eastAsia="宋体"/>
          <w:b w:val="0"/>
          <w:bCs/>
          <w:szCs w:val="32"/>
        </w:rPr>
        <w:t>计划</w:t>
      </w:r>
      <w:r>
        <w:rPr>
          <w:rFonts w:ascii="宋体" w:hAnsi="宋体" w:eastAsia="宋体"/>
          <w:b w:val="0"/>
          <w:bCs/>
          <w:szCs w:val="32"/>
        </w:rPr>
        <w:t>表</w:t>
      </w:r>
      <w:bookmarkEnd w:id="355"/>
      <w:bookmarkEnd w:id="356"/>
      <w:bookmarkEnd w:id="357"/>
      <w:bookmarkEnd w:id="358"/>
      <w:bookmarkEnd w:id="359"/>
      <w:bookmarkEnd w:id="360"/>
      <w:bookmarkEnd w:id="361"/>
    </w:p>
    <w:tbl>
      <w:tblPr>
        <w:tblStyle w:val="16"/>
        <w:tblW w:w="13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4"/>
        <w:gridCol w:w="1815"/>
        <w:gridCol w:w="928"/>
        <w:gridCol w:w="6281"/>
        <w:gridCol w:w="600"/>
        <w:gridCol w:w="888"/>
        <w:gridCol w:w="1158"/>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74"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bookmarkStart w:id="362" w:name="_Hlk15995549"/>
            <w:r>
              <w:rPr>
                <w:rFonts w:ascii="宋体" w:hAnsi="宋体" w:cs="宋体" w:eastAsiaTheme="minorEastAsia"/>
                <w:b w:val="0"/>
                <w:bCs/>
                <w:w w:val="90"/>
                <w:kern w:val="0"/>
                <w:sz w:val="24"/>
              </w:rPr>
              <w:t>序号</w:t>
            </w:r>
          </w:p>
        </w:tc>
        <w:tc>
          <w:tcPr>
            <w:tcW w:w="1815"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项目名称</w:t>
            </w:r>
          </w:p>
        </w:tc>
        <w:tc>
          <w:tcPr>
            <w:tcW w:w="928"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建设地点</w:t>
            </w:r>
          </w:p>
        </w:tc>
        <w:tc>
          <w:tcPr>
            <w:tcW w:w="6281"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建设内容及规模</w:t>
            </w:r>
          </w:p>
        </w:tc>
        <w:tc>
          <w:tcPr>
            <w:tcW w:w="600"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性质</w:t>
            </w:r>
          </w:p>
        </w:tc>
        <w:tc>
          <w:tcPr>
            <w:tcW w:w="888"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总投资</w:t>
            </w:r>
            <w:r>
              <w:rPr>
                <w:rFonts w:hint="eastAsia" w:ascii="宋体" w:hAnsi="宋体" w:cs="宋体" w:eastAsiaTheme="minorEastAsia"/>
                <w:b w:val="0"/>
                <w:bCs/>
                <w:w w:val="90"/>
                <w:kern w:val="0"/>
                <w:sz w:val="24"/>
              </w:rPr>
              <w:br w:type="textWrapping"/>
            </w:r>
            <w:r>
              <w:rPr>
                <w:rFonts w:hint="eastAsia" w:ascii="宋体" w:hAnsi="宋体" w:cs="宋体" w:eastAsiaTheme="minorEastAsia"/>
                <w:b w:val="0"/>
                <w:bCs/>
                <w:w w:val="90"/>
                <w:kern w:val="0"/>
                <w:sz w:val="24"/>
              </w:rPr>
              <w:t>（万元）</w:t>
            </w:r>
          </w:p>
        </w:tc>
        <w:tc>
          <w:tcPr>
            <w:tcW w:w="1158"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建设年限</w:t>
            </w:r>
          </w:p>
        </w:tc>
        <w:tc>
          <w:tcPr>
            <w:tcW w:w="1389" w:type="dxa"/>
            <w:tcBorders>
              <w:tl2br w:val="nil"/>
              <w:tr2bl w:val="nil"/>
            </w:tcBorders>
            <w:shd w:val="clear" w:color="auto" w:fill="D0CECE" w:themeFill="background2" w:themeFillShade="E6"/>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4"/>
              </w:rPr>
              <w:t>（一）产业振兴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茶树紫阳种繁育工程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建设无性系良种茶苗繁育基地2</w:t>
            </w:r>
            <w:r>
              <w:rPr>
                <w:rFonts w:ascii="宋体" w:hAnsi="宋体" w:cs="宋体" w:eastAsiaTheme="minorEastAsia"/>
                <w:b w:val="0"/>
                <w:bCs/>
                <w:w w:val="90"/>
                <w:kern w:val="0"/>
                <w:sz w:val="24"/>
              </w:rPr>
              <w:t>000亩，重点引选推广一批高抗、优质、特色茶树新品种。</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茶业发展中心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茶业产业园建设项目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新建茶园4万亩，升级改造茶园10万亩，培育17个（每个镇一个）规模化、标准茶叶产业园区，融合建设旅游设施。</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茶业发展中心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普方中药材提取项目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工业园区</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购置设备681台（套），建年提取1500吨中药干粉生产线10条、3000吨中药饮片生产线1条。</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40200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1</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茶</w:t>
            </w:r>
            <w:r>
              <w:rPr>
                <w:rFonts w:hint="eastAsia" w:ascii="宋体" w:hAnsi="宋体" w:cs="宋体" w:eastAsiaTheme="minorEastAsia"/>
                <w:b w:val="0"/>
                <w:bCs/>
                <w:w w:val="90"/>
                <w:kern w:val="0"/>
                <w:sz w:val="24"/>
              </w:rPr>
              <w:t>产业效能提升</w:t>
            </w:r>
            <w:r>
              <w:rPr>
                <w:rFonts w:ascii="宋体" w:hAnsi="宋体" w:cs="宋体" w:eastAsiaTheme="minorEastAsia"/>
                <w:b w:val="0"/>
                <w:bCs/>
                <w:w w:val="90"/>
                <w:kern w:val="0"/>
                <w:sz w:val="24"/>
              </w:rPr>
              <w:t>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因地制宜</w:t>
            </w:r>
            <w:r>
              <w:rPr>
                <w:rFonts w:ascii="宋体" w:hAnsi="宋体" w:cs="宋体" w:eastAsiaTheme="minorEastAsia"/>
                <w:b w:val="0"/>
                <w:bCs/>
                <w:w w:val="90"/>
                <w:kern w:val="0"/>
                <w:sz w:val="24"/>
              </w:rPr>
              <w:t>推广运用先进适用的喷灌设备、防霜机、中耕机、修剪机、采茶机等设施装备，加快</w:t>
            </w:r>
            <w:r>
              <w:rPr>
                <w:rFonts w:hint="eastAsia" w:ascii="宋体" w:hAnsi="宋体" w:cs="宋体" w:eastAsiaTheme="minorEastAsia"/>
                <w:b w:val="0"/>
                <w:bCs/>
                <w:w w:val="90"/>
                <w:kern w:val="0"/>
                <w:sz w:val="24"/>
              </w:rPr>
              <w:t>茶产业机械化</w:t>
            </w:r>
            <w:r>
              <w:rPr>
                <w:rFonts w:ascii="宋体" w:hAnsi="宋体" w:cs="宋体" w:eastAsiaTheme="minorEastAsia"/>
                <w:b w:val="0"/>
                <w:bCs/>
                <w:w w:val="90"/>
                <w:kern w:val="0"/>
                <w:sz w:val="24"/>
              </w:rPr>
              <w:t>步伐，</w:t>
            </w:r>
            <w:r>
              <w:rPr>
                <w:rFonts w:hint="eastAsia" w:ascii="宋体" w:hAnsi="宋体" w:cs="宋体" w:eastAsiaTheme="minorEastAsia"/>
                <w:b w:val="0"/>
                <w:bCs/>
                <w:w w:val="90"/>
                <w:kern w:val="0"/>
                <w:sz w:val="24"/>
              </w:rPr>
              <w:t>逐步提升茶产业种植效率</w:t>
            </w:r>
            <w:r>
              <w:rPr>
                <w:rFonts w:ascii="宋体" w:hAnsi="宋体" w:cs="宋体" w:eastAsiaTheme="minorEastAsia"/>
                <w:b w:val="0"/>
                <w:bCs/>
                <w:w w:val="90"/>
                <w:kern w:val="0"/>
                <w:sz w:val="24"/>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4500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茶业发展中心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富硒产业聚集发展试点示范区建设项目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蒿坪镇</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双安镇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富硒生态产业园区、富硒产业研发孵化服务中心、硒科技馆、硒宝广场、富硒生态休闲体验区、富硒生态茶园观光区、富硒绿茶蔬菜粮油种植基地、高聚硒作物研究选育基地、富硒康养基地、交通驿站、富硒美食一条街，配套基础设施等。</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140000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农业产业科技创新中心建设</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蒿坪镇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新建标准化厂房21451平方米、政务服务综合楼19762平方米、公寓楼、18673平方米、精品商业街9077平方米、科技馆2245平方米、富硒土特产超市2058平方米，购置科技创新服务相关设备，建筑总面积73266平方米。</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40000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2020-2023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园区发展投资开发公司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涉农大数据管理发布平台建设项目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建涉农大数据管理、发布平台。开展农业基础设施、土地分布、种养规模等方面信息数据摸底调查登记，整合土地确权登记、粮食生产功能区划定、土壤肥力监测等。</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8</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2021-</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魔芋种源繁育基地建设项目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建设优质魔芋种源基地</w:t>
            </w:r>
            <w:r>
              <w:rPr>
                <w:rFonts w:hint="eastAsia" w:ascii="宋体" w:hAnsi="宋体" w:cs="宋体" w:eastAsiaTheme="minorEastAsia"/>
                <w:b w:val="0"/>
                <w:bCs/>
                <w:w w:val="90"/>
                <w:kern w:val="0"/>
                <w:sz w:val="24"/>
              </w:rPr>
              <w:t>3</w:t>
            </w:r>
            <w:r>
              <w:rPr>
                <w:rFonts w:ascii="宋体" w:hAnsi="宋体" w:cs="宋体" w:eastAsiaTheme="minorEastAsia"/>
                <w:b w:val="0"/>
                <w:bCs/>
                <w:w w:val="90"/>
                <w:kern w:val="0"/>
                <w:sz w:val="24"/>
              </w:rPr>
              <w:t>000亩。</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120</w:t>
            </w:r>
            <w:r>
              <w:rPr>
                <w:rFonts w:hint="eastAsia" w:ascii="宋体" w:hAnsi="宋体" w:cs="宋体" w:eastAsiaTheme="minorEastAsia"/>
                <w:b w:val="0"/>
                <w:bCs/>
                <w:w w:val="90"/>
                <w:kern w:val="0"/>
                <w:sz w:val="24"/>
              </w:rPr>
              <w:t>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2019-2020</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优质商品魔芋种植</w:t>
            </w:r>
          </w:p>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基地建设项目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建设优质</w:t>
            </w:r>
            <w:r>
              <w:rPr>
                <w:rFonts w:hint="eastAsia" w:ascii="宋体" w:hAnsi="宋体" w:cs="宋体" w:eastAsiaTheme="minorEastAsia"/>
                <w:b w:val="0"/>
                <w:bCs/>
                <w:w w:val="90"/>
                <w:kern w:val="0"/>
                <w:sz w:val="24"/>
              </w:rPr>
              <w:t>商品</w:t>
            </w:r>
            <w:r>
              <w:rPr>
                <w:rFonts w:ascii="宋体" w:hAnsi="宋体" w:cs="宋体" w:eastAsiaTheme="minorEastAsia"/>
                <w:b w:val="0"/>
                <w:bCs/>
                <w:w w:val="90"/>
                <w:kern w:val="0"/>
                <w:sz w:val="24"/>
              </w:rPr>
              <w:t>魔芋</w:t>
            </w:r>
            <w:r>
              <w:rPr>
                <w:rFonts w:hint="eastAsia" w:ascii="宋体" w:hAnsi="宋体" w:cs="宋体" w:eastAsiaTheme="minorEastAsia"/>
                <w:b w:val="0"/>
                <w:bCs/>
                <w:w w:val="90"/>
                <w:kern w:val="0"/>
                <w:sz w:val="24"/>
              </w:rPr>
              <w:t>种植</w:t>
            </w:r>
            <w:r>
              <w:rPr>
                <w:rFonts w:ascii="宋体" w:hAnsi="宋体" w:cs="宋体" w:eastAsiaTheme="minorEastAsia"/>
                <w:b w:val="0"/>
                <w:bCs/>
                <w:w w:val="90"/>
                <w:kern w:val="0"/>
                <w:sz w:val="24"/>
              </w:rPr>
              <w:t>基地</w:t>
            </w:r>
            <w:r>
              <w:rPr>
                <w:rFonts w:hint="eastAsia" w:ascii="宋体" w:hAnsi="宋体" w:cs="宋体" w:eastAsiaTheme="minorEastAsia"/>
                <w:b w:val="0"/>
                <w:bCs/>
                <w:w w:val="90"/>
                <w:kern w:val="0"/>
                <w:sz w:val="24"/>
              </w:rPr>
              <w:t>3万</w:t>
            </w:r>
            <w:r>
              <w:rPr>
                <w:rFonts w:ascii="宋体" w:hAnsi="宋体" w:cs="宋体" w:eastAsiaTheme="minorEastAsia"/>
                <w:b w:val="0"/>
                <w:bCs/>
                <w:w w:val="90"/>
                <w:kern w:val="0"/>
                <w:sz w:val="24"/>
              </w:rPr>
              <w:t>亩</w:t>
            </w:r>
            <w:r>
              <w:rPr>
                <w:rFonts w:hint="eastAsia" w:ascii="宋体" w:hAnsi="宋体" w:cs="宋体" w:eastAsiaTheme="minorEastAsia"/>
                <w:b w:val="0"/>
                <w:bCs/>
                <w:w w:val="90"/>
                <w:kern w:val="0"/>
                <w:sz w:val="24"/>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扩建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9000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魔芋精深加工项目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相关园区</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建魔芋精粉及副食品加工生产线，配套建设车间、库房、产研中心、展示体验中心等。</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2</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经贸局       招商服务中心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农业园区提档升级工程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各农业</w:t>
            </w:r>
          </w:p>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园区</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建成国家级农业园区1个，省级农业园区5个，市级农业园区50个。</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3600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新型农业经营主体培育工程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每年</w:t>
            </w:r>
            <w:r>
              <w:rPr>
                <w:rFonts w:ascii="宋体" w:hAnsi="宋体" w:cs="宋体" w:eastAsiaTheme="minorEastAsia"/>
                <w:b w:val="0"/>
                <w:bCs/>
                <w:w w:val="90"/>
                <w:kern w:val="0"/>
                <w:sz w:val="24"/>
              </w:rPr>
              <w:t>扶持农业示范企业5个，规范提升专业合作社10个，培育规模经营示范农场</w:t>
            </w:r>
            <w:r>
              <w:rPr>
                <w:rFonts w:hint="eastAsia" w:ascii="宋体" w:hAnsi="宋体" w:cs="宋体" w:eastAsiaTheme="minorEastAsia"/>
                <w:b w:val="0"/>
                <w:bCs/>
                <w:w w:val="90"/>
                <w:kern w:val="0"/>
                <w:sz w:val="24"/>
              </w:rPr>
              <w:t>2</w:t>
            </w:r>
            <w:r>
              <w:rPr>
                <w:rFonts w:ascii="宋体" w:hAnsi="宋体" w:cs="宋体" w:eastAsiaTheme="minorEastAsia"/>
                <w:b w:val="0"/>
                <w:bCs/>
                <w:w w:val="90"/>
                <w:kern w:val="0"/>
                <w:sz w:val="24"/>
              </w:rPr>
              <w:t>0个。</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1</w:t>
            </w:r>
            <w:r>
              <w:rPr>
                <w:rFonts w:hint="eastAsia" w:ascii="宋体" w:hAnsi="宋体" w:cs="宋体" w:eastAsiaTheme="minorEastAsia"/>
                <w:b w:val="0"/>
                <w:bCs/>
                <w:w w:val="90"/>
                <w:kern w:val="0"/>
                <w:sz w:val="24"/>
              </w:rPr>
              <w:t>6</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粮食生产功能区创建项目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完成18万亩玉米</w:t>
            </w:r>
            <w:r>
              <w:rPr>
                <w:rFonts w:hint="eastAsia" w:ascii="宋体" w:hAnsi="宋体" w:cs="宋体" w:eastAsiaTheme="minorEastAsia"/>
                <w:b w:val="0"/>
                <w:bCs/>
                <w:w w:val="90"/>
                <w:kern w:val="0"/>
                <w:sz w:val="24"/>
              </w:rPr>
              <w:t>、</w:t>
            </w:r>
            <w:r>
              <w:rPr>
                <w:rFonts w:ascii="宋体" w:hAnsi="宋体" w:cs="宋体" w:eastAsiaTheme="minorEastAsia"/>
                <w:b w:val="0"/>
                <w:bCs/>
                <w:w w:val="90"/>
                <w:kern w:val="0"/>
                <w:sz w:val="24"/>
              </w:rPr>
              <w:t>3.8万亩水稻</w:t>
            </w:r>
            <w:r>
              <w:rPr>
                <w:rFonts w:hint="eastAsia" w:ascii="宋体" w:hAnsi="宋体" w:cs="宋体" w:eastAsiaTheme="minorEastAsia"/>
                <w:b w:val="0"/>
                <w:bCs/>
                <w:w w:val="90"/>
                <w:kern w:val="0"/>
                <w:sz w:val="24"/>
              </w:rPr>
              <w:t>生产区</w:t>
            </w:r>
            <w:r>
              <w:rPr>
                <w:rFonts w:ascii="宋体" w:hAnsi="宋体" w:cs="宋体" w:eastAsiaTheme="minorEastAsia"/>
                <w:b w:val="0"/>
                <w:bCs/>
                <w:w w:val="90"/>
                <w:kern w:val="0"/>
                <w:sz w:val="24"/>
              </w:rPr>
              <w:t>划定工作，到2020年底绘制完成粮食生产功能区地块图斑和数据，建立电子地图和数据库，形成全县粮食生产功能区“一张图”。</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w:t>
            </w:r>
            <w:r>
              <w:rPr>
                <w:rFonts w:hint="eastAsia" w:ascii="宋体" w:hAnsi="宋体" w:cs="宋体" w:eastAsiaTheme="minorEastAsia"/>
                <w:b w:val="0"/>
                <w:bCs/>
                <w:w w:val="90"/>
                <w:kern w:val="0"/>
                <w:sz w:val="24"/>
              </w:rPr>
              <w:t>-2021</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农业科技专家大院建设项目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相关园区</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eastAsia="宋体" w:cs="Times New Roman"/>
                <w:b w:val="0"/>
                <w:bCs/>
                <w:w w:val="90"/>
                <w:sz w:val="24"/>
                <w:szCs w:val="20"/>
              </w:rPr>
            </w:pPr>
            <w:r>
              <w:rPr>
                <w:rFonts w:ascii="宋体" w:hAnsi="宋体" w:cs="宋体" w:eastAsiaTheme="minorEastAsia"/>
                <w:b w:val="0"/>
                <w:bCs/>
                <w:w w:val="90"/>
                <w:kern w:val="0"/>
                <w:sz w:val="24"/>
              </w:rPr>
              <w:t>在省级以上农业园区各建1个农业科技专家大院，每个专家大院由2名以上专家组成，实行首席专家负责制</w:t>
            </w:r>
            <w:r>
              <w:rPr>
                <w:rFonts w:hint="eastAsia" w:ascii="宋体" w:hAnsi="宋体" w:cs="宋体" w:eastAsiaTheme="minorEastAsia"/>
                <w:b w:val="0"/>
                <w:bCs/>
                <w:w w:val="90"/>
                <w:kern w:val="0"/>
                <w:sz w:val="24"/>
              </w:rPr>
              <w:t>。</w:t>
            </w:r>
            <w:r>
              <w:rPr>
                <w:rFonts w:ascii="宋体" w:hAnsi="宋体" w:cs="宋体" w:eastAsiaTheme="minorEastAsia"/>
                <w:b w:val="0"/>
                <w:bCs/>
                <w:w w:val="90"/>
                <w:kern w:val="0"/>
                <w:sz w:val="24"/>
              </w:rPr>
              <w:t>以农业科技特派员为主，适当聘请高等院校或科研单位专家、教授和专业技术人员。</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2</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农业综合服务体建设项目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建设农业大数据平台、现代农业展览馆、科技研发、品牌营销中心、产业园监管平台、电商平台、新型职业农民培训基地等功能板块。</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4500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1"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农产品质量安全追溯体系建设项目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建设农产品质量监测预警、</w:t>
            </w:r>
            <w:r>
              <w:rPr>
                <w:rFonts w:hint="eastAsia" w:ascii="宋体" w:hAnsi="宋体" w:cs="宋体" w:eastAsiaTheme="minorEastAsia"/>
                <w:b w:val="0"/>
                <w:bCs/>
                <w:w w:val="90"/>
                <w:kern w:val="0"/>
                <w:sz w:val="24"/>
              </w:rPr>
              <w:t>安全溯源</w:t>
            </w:r>
            <w:r>
              <w:rPr>
                <w:rFonts w:ascii="宋体" w:hAnsi="宋体" w:cs="宋体" w:eastAsiaTheme="minorEastAsia"/>
                <w:b w:val="0"/>
                <w:bCs/>
                <w:w w:val="90"/>
                <w:kern w:val="0"/>
                <w:sz w:val="24"/>
              </w:rPr>
              <w:t>平台，建立消费者可查询的覆盖全产业链条各主要环节的农产品质量追溯体系，确保农产品安全例行监测合格率</w:t>
            </w:r>
            <w:r>
              <w:rPr>
                <w:rFonts w:hint="eastAsia" w:ascii="宋体" w:hAnsi="宋体" w:cs="宋体" w:eastAsiaTheme="minorEastAsia"/>
                <w:b w:val="0"/>
                <w:bCs/>
                <w:w w:val="90"/>
                <w:kern w:val="0"/>
                <w:sz w:val="24"/>
              </w:rPr>
              <w:t>保持在</w:t>
            </w:r>
            <w:r>
              <w:rPr>
                <w:rFonts w:ascii="宋体" w:hAnsi="宋体" w:cs="宋体" w:eastAsiaTheme="minorEastAsia"/>
                <w:b w:val="0"/>
                <w:bCs/>
                <w:w w:val="90"/>
                <w:kern w:val="0"/>
                <w:sz w:val="24"/>
              </w:rPr>
              <w:t>95%以上。</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600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1-2023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“新社区工厂”建设项目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依托移民搬迁社区配建的</w:t>
            </w:r>
            <w:r>
              <w:rPr>
                <w:rFonts w:hint="eastAsia" w:ascii="宋体" w:hAnsi="宋体" w:eastAsia="宋体"/>
                <w:b w:val="0"/>
                <w:bCs/>
                <w:w w:val="90"/>
                <w:sz w:val="24"/>
                <w:szCs w:val="20"/>
              </w:rPr>
              <w:t>商业用房、社区空置门店等，</w:t>
            </w:r>
            <w:r>
              <w:rPr>
                <w:rFonts w:hint="eastAsia" w:ascii="宋体" w:hAnsi="宋体" w:cs="宋体" w:eastAsiaTheme="minorEastAsia"/>
                <w:b w:val="0"/>
                <w:bCs/>
                <w:w w:val="90"/>
                <w:kern w:val="0"/>
                <w:sz w:val="24"/>
              </w:rPr>
              <w:t>创办生产加工型工厂（分厂）或加工车间，建成“新社区工厂”5</w:t>
            </w:r>
            <w:r>
              <w:rPr>
                <w:rFonts w:ascii="宋体" w:hAnsi="宋体" w:cs="宋体" w:eastAsiaTheme="minorEastAsia"/>
                <w:b w:val="0"/>
                <w:bCs/>
                <w:w w:val="90"/>
                <w:kern w:val="0"/>
                <w:sz w:val="24"/>
              </w:rPr>
              <w:t>0</w:t>
            </w:r>
            <w:r>
              <w:rPr>
                <w:rFonts w:hint="eastAsia" w:ascii="宋体" w:hAnsi="宋体" w:cs="宋体" w:eastAsiaTheme="minorEastAsia"/>
                <w:b w:val="0"/>
                <w:bCs/>
                <w:w w:val="90"/>
                <w:kern w:val="0"/>
                <w:sz w:val="24"/>
              </w:rPr>
              <w:t>家带动就业3000人以上。</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富硒包装饮用水综合开发项目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建设年产20万吨饮用水生产线，配套厂房、冷库、办公用房等。</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w:t>
            </w:r>
            <w:r>
              <w:rPr>
                <w:rFonts w:ascii="宋体" w:hAnsi="宋体" w:cs="宋体" w:eastAsiaTheme="minorEastAsia"/>
                <w:b w:val="0"/>
                <w:bCs/>
                <w:w w:val="90"/>
                <w:kern w:val="0"/>
                <w:sz w:val="24"/>
              </w:rPr>
              <w:t>019</w:t>
            </w:r>
            <w:r>
              <w:rPr>
                <w:rFonts w:hint="eastAsia" w:ascii="宋体" w:hAnsi="宋体" w:cs="宋体" w:eastAsiaTheme="minorEastAsia"/>
                <w:b w:val="0"/>
                <w:bCs/>
                <w:w w:val="90"/>
                <w:kern w:val="0"/>
                <w:sz w:val="24"/>
              </w:rPr>
              <w:t>-</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经贸局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国家级（紫阳）富硒茶叶市场建设项目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建设综合交易区、科技商务会展区、综合服务区、生活配套区、富硒茶深加工区、农产品加工区“六大功能区”，打造全国富硒茶标准化检测、批发交易、价格形成、信息发布、科技研发和会展“六大中心”。</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w:t>
            </w:r>
            <w:r>
              <w:rPr>
                <w:rFonts w:ascii="宋体" w:hAnsi="宋体" w:cs="宋体" w:eastAsiaTheme="minorEastAsia"/>
                <w:b w:val="0"/>
                <w:bCs/>
                <w:w w:val="90"/>
                <w:kern w:val="0"/>
                <w:sz w:val="24"/>
              </w:rPr>
              <w:t>5000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w:t>
            </w:r>
            <w:r>
              <w:rPr>
                <w:rFonts w:hint="eastAsia" w:ascii="宋体" w:hAnsi="宋体" w:cs="宋体" w:eastAsiaTheme="minorEastAsia"/>
                <w:b w:val="0"/>
                <w:bCs/>
                <w:w w:val="90"/>
                <w:kern w:val="0"/>
                <w:sz w:val="24"/>
              </w:rPr>
              <w:t>20</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住建局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智慧物流共享平台建设项目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构建物流大数据中心，建成集订单导入、调度、分配、结算等功能为一体的物流共享平台</w:t>
            </w:r>
            <w:r>
              <w:rPr>
                <w:rFonts w:ascii="宋体" w:hAnsi="宋体" w:cs="宋体" w:eastAsiaTheme="minorEastAsia"/>
                <w:b w:val="0"/>
                <w:bCs/>
                <w:w w:val="90"/>
                <w:kern w:val="0"/>
                <w:sz w:val="24"/>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经贸局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w:t>
            </w:r>
            <w:r>
              <w:rPr>
                <w:rFonts w:hint="eastAsia" w:ascii="宋体" w:hAnsi="宋体" w:cs="宋体" w:eastAsiaTheme="minorEastAsia"/>
                <w:b w:val="0"/>
                <w:bCs/>
                <w:w w:val="90"/>
                <w:kern w:val="0"/>
                <w:sz w:val="24"/>
              </w:rPr>
              <w:t>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蒿坪田园综合体建设项目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蒿坪镇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建设以生态高效农业、农林乐园、园艺中心为主体，体现花园式农场运营理念的农林、旅游、度假、文化、居住综合性园区。</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蒿坪镇政府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22</w:t>
            </w:r>
          </w:p>
        </w:tc>
        <w:tc>
          <w:tcPr>
            <w:tcW w:w="18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left"/>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硒茶小镇建设项目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向阳镇 焕古镇  城关镇</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新建商业步行街、硒茶小镇运营中心、博物馆及配套设施、游客接待中心、山地茶园观光露营自驾基地、停车场等，建设面积10万平方米。</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w:t>
            </w:r>
            <w:r>
              <w:rPr>
                <w:rFonts w:hint="eastAsia" w:ascii="宋体" w:hAnsi="宋体" w:cs="宋体" w:eastAsiaTheme="minorEastAsia"/>
                <w:b w:val="0"/>
                <w:bCs/>
                <w:w w:val="90"/>
                <w:kern w:val="0"/>
                <w:sz w:val="24"/>
              </w:rPr>
              <w:t>9</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旅投公司</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焕古镇       向阳镇        城关镇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1"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w:t>
            </w:r>
            <w:r>
              <w:rPr>
                <w:rFonts w:hint="eastAsia" w:ascii="宋体" w:hAnsi="宋体" w:cs="宋体" w:eastAsiaTheme="minorEastAsia"/>
                <w:b w:val="0"/>
                <w:bCs/>
                <w:w w:val="90"/>
                <w:kern w:val="0"/>
                <w:sz w:val="24"/>
              </w:rPr>
              <w:t>3</w:t>
            </w:r>
          </w:p>
        </w:tc>
        <w:tc>
          <w:tcPr>
            <w:tcW w:w="18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left"/>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瓦房会馆小镇建设项目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向阳镇</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院落会馆1.25万平方米、艺术家工作室4000平方米、特色水街会馆8500平方米、亲水茶舍300平方米、民歌会馆及茶博馆2600平方米、休闲养生配套9500平方米，瓦房沟河堤小水坝、交通道路设施、停车场等其他景点建设，对周边民房外立面、老街区道路进行改造修缮。</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62000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w:t>
            </w:r>
            <w:r>
              <w:rPr>
                <w:rFonts w:hint="eastAsia" w:ascii="宋体" w:hAnsi="宋体" w:cs="宋体" w:eastAsiaTheme="minorEastAsia"/>
                <w:b w:val="0"/>
                <w:bCs/>
                <w:w w:val="90"/>
                <w:kern w:val="0"/>
                <w:sz w:val="24"/>
              </w:rPr>
              <w:t>9</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文旅局</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向阳镇政府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rPr>
                <w:rFonts w:ascii="宋体" w:hAnsi="宋体" w:cs="宋体" w:eastAsiaTheme="minorEastAsia"/>
                <w:b w:val="0"/>
                <w:bCs/>
                <w:w w:val="90"/>
                <w:kern w:val="0"/>
                <w:sz w:val="24"/>
              </w:rPr>
            </w:pPr>
            <w:r>
              <w:rPr>
                <w:rFonts w:hint="eastAsia" w:cs="Times New Roman" w:eastAsiaTheme="minorEastAsia"/>
                <w:b w:val="0"/>
                <w:bCs/>
                <w:w w:val="90"/>
                <w:kern w:val="0"/>
                <w:sz w:val="24"/>
                <w:szCs w:val="20"/>
              </w:rPr>
              <w:t>高桥田园生态小镇建设项目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高桥镇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rPr>
                <w:rFonts w:ascii="宋体" w:hAnsi="宋体" w:cs="宋体" w:eastAsiaTheme="minorEastAsia"/>
                <w:b w:val="0"/>
                <w:bCs/>
                <w:w w:val="90"/>
                <w:kern w:val="0"/>
                <w:sz w:val="24"/>
              </w:rPr>
            </w:pPr>
            <w:r>
              <w:rPr>
                <w:rFonts w:hint="eastAsia" w:cs="Times New Roman" w:eastAsiaTheme="minorEastAsia"/>
                <w:b w:val="0"/>
                <w:bCs/>
                <w:w w:val="90"/>
                <w:kern w:val="0"/>
                <w:sz w:val="24"/>
                <w:szCs w:val="20"/>
              </w:rPr>
              <w:t xml:space="preserve">建设民俗聚落、游客综合服务中心、观光茶园、苍鹭保护基地、非遗工坊、田园综合体验区等，打造集生态观光、农事体验、休闲垂钓、民宿住宿等于一体的田园生态小镇。 </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12000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cs="Times New Roman" w:eastAsiaTheme="minorEastAsia"/>
                <w:b w:val="0"/>
                <w:bCs/>
                <w:w w:val="90"/>
                <w:kern w:val="0"/>
                <w:sz w:val="24"/>
                <w:szCs w:val="20"/>
              </w:rPr>
              <w:t xml:space="preserve"> 高桥镇政府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eastAsia="宋体" w:cs="Times New Roman"/>
                <w:b w:val="0"/>
                <w:bCs/>
                <w:w w:val="90"/>
                <w:sz w:val="24"/>
                <w:szCs w:val="20"/>
              </w:rPr>
              <w:t>农村电商提升工程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eastAsia="宋体" w:cs="Times New Roman"/>
                <w:b w:val="0"/>
                <w:bCs/>
                <w:w w:val="90"/>
                <w:sz w:val="24"/>
                <w:szCs w:val="20"/>
              </w:rPr>
              <w:t>围绕紫阳富硒产业，加快布局以富硒茶、魔芋、中药材等特色农产品为主的电商网点，加大电商人才培育</w:t>
            </w:r>
            <w:r>
              <w:rPr>
                <w:rFonts w:eastAsia="宋体" w:cs="Times New Roman"/>
                <w:b w:val="0"/>
                <w:bCs/>
                <w:w w:val="90"/>
                <w:sz w:val="24"/>
                <w:szCs w:val="20"/>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2019-2020</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经贸局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（二）生态振兴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农村污水处理工程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对</w:t>
            </w:r>
            <w:r>
              <w:rPr>
                <w:rFonts w:ascii="宋体" w:hAnsi="宋体" w:cs="宋体" w:eastAsiaTheme="minorEastAsia"/>
                <w:b w:val="0"/>
                <w:bCs/>
                <w:w w:val="90"/>
                <w:kern w:val="0"/>
                <w:sz w:val="24"/>
              </w:rPr>
              <w:t>84个大中型集中安置点采用“一体化”污水处理设备，配套铺设污水收集主管网；对118个小型集中安置点建设三格式化粪池</w:t>
            </w:r>
            <w:r>
              <w:rPr>
                <w:rFonts w:hint="eastAsia" w:ascii="宋体" w:hAnsi="宋体" w:cs="宋体" w:eastAsiaTheme="minorEastAsia"/>
                <w:b w:val="0"/>
                <w:bCs/>
                <w:w w:val="90"/>
                <w:kern w:val="0"/>
                <w:sz w:val="24"/>
              </w:rPr>
              <w:t>等处理设施</w:t>
            </w:r>
            <w:r>
              <w:rPr>
                <w:rFonts w:ascii="宋体" w:hAnsi="宋体" w:cs="宋体" w:eastAsiaTheme="minorEastAsia"/>
                <w:b w:val="0"/>
                <w:bCs/>
                <w:w w:val="90"/>
                <w:kern w:val="0"/>
                <w:sz w:val="24"/>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7000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住建局</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市生态环境局紫阳分局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生活垃圾压缩转运站</w:t>
            </w:r>
            <w:r>
              <w:rPr>
                <w:rFonts w:hint="eastAsia" w:ascii="宋体" w:hAnsi="宋体" w:cs="宋体" w:eastAsiaTheme="minorEastAsia"/>
                <w:b w:val="0"/>
                <w:bCs/>
                <w:w w:val="90"/>
                <w:kern w:val="0"/>
                <w:sz w:val="24"/>
                <w:lang w:eastAsia="zh-CN"/>
              </w:rPr>
              <w:t>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rPr>
            </w:pPr>
            <w:r>
              <w:rPr>
                <w:rFonts w:hint="eastAsia" w:ascii="宋体" w:hAnsi="宋体" w:cs="宋体" w:eastAsiaTheme="minorEastAsia"/>
                <w:b w:val="0"/>
                <w:bCs/>
                <w:w w:val="90"/>
                <w:kern w:val="0"/>
                <w:sz w:val="24"/>
              </w:rPr>
              <w:t>新建生活垃圾压缩转运站6座，日转运垃圾200t,购置垃圾收运车50辆。</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lang w:val="en-US" w:eastAsia="zh-CN"/>
              </w:rPr>
              <w:t>6</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 住建局        市生态环境局紫阳分局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rPr>
            </w:pPr>
            <w:r>
              <w:rPr>
                <w:rFonts w:hint="eastAsia" w:ascii="宋体" w:hAnsi="宋体" w:cs="宋体" w:eastAsiaTheme="minorEastAsia"/>
                <w:b w:val="0"/>
                <w:bCs/>
                <w:w w:val="90"/>
                <w:kern w:val="0"/>
                <w:sz w:val="24"/>
              </w:rPr>
              <w:t>粪污集中处理工程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eastAsia" w:ascii="宋体" w:hAnsi="宋体" w:cs="宋体" w:eastAsiaTheme="minorEastAsia"/>
                <w:b w:val="0"/>
                <w:bCs/>
                <w:w w:val="90"/>
                <w:kern w:val="0"/>
                <w:sz w:val="24"/>
              </w:rPr>
            </w:pPr>
            <w:r>
              <w:rPr>
                <w:rFonts w:hint="eastAsia" w:ascii="宋体" w:hAnsi="宋体" w:cs="宋体" w:eastAsiaTheme="minorEastAsia"/>
                <w:b w:val="0"/>
                <w:bCs/>
                <w:w w:val="90"/>
                <w:kern w:val="0"/>
                <w:sz w:val="24"/>
              </w:rPr>
              <w:t>新建污粪集中处理中心、无害化处理池（防水处理），配套干湿分离机一台，清粪车一辆及其他配套设施。</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w:t>
            </w:r>
            <w:r>
              <w:rPr>
                <w:rFonts w:hint="eastAsia" w:ascii="宋体" w:hAnsi="宋体" w:cs="宋体" w:eastAsiaTheme="minorEastAsia"/>
                <w:b w:val="0"/>
                <w:bCs/>
                <w:w w:val="90"/>
                <w:kern w:val="0"/>
                <w:sz w:val="24"/>
              </w:rPr>
              <w:t>20</w:t>
            </w:r>
            <w:r>
              <w:rPr>
                <w:rFonts w:ascii="宋体" w:hAnsi="宋体" w:cs="宋体" w:eastAsiaTheme="minorEastAsia"/>
                <w:b w:val="0"/>
                <w:bCs/>
                <w:w w:val="90"/>
                <w:kern w:val="0"/>
                <w:sz w:val="24"/>
              </w:rPr>
              <w:t>-2021</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住建局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社区废弃物分类回收利用工程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依托物业管理对社区废弃物进行分类回收利用，主要建设废物收集运输系统、处理中心及其他辅助工程。</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32</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w:t>
            </w:r>
            <w:r>
              <w:rPr>
                <w:rFonts w:hint="eastAsia" w:ascii="宋体" w:hAnsi="宋体" w:cs="宋体" w:eastAsiaTheme="minorEastAsia"/>
                <w:b w:val="0"/>
                <w:bCs/>
                <w:w w:val="90"/>
                <w:kern w:val="0"/>
                <w:sz w:val="24"/>
              </w:rPr>
              <w:t>20</w:t>
            </w:r>
            <w:r>
              <w:rPr>
                <w:rFonts w:ascii="宋体" w:hAnsi="宋体" w:cs="宋体" w:eastAsiaTheme="minorEastAsia"/>
                <w:b w:val="0"/>
                <w:bCs/>
                <w:w w:val="90"/>
                <w:kern w:val="0"/>
                <w:sz w:val="24"/>
              </w:rPr>
              <w:t>-202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住建局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农村庭院整治项目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农户庭院绿化、美化、硬化建设，包括室内规划或铺砌、房檐台铺砌、院落人行道铺砌、篱笆院墙、栽植绿化苗木等。</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2500</w:t>
            </w:r>
            <w:r>
              <w:rPr>
                <w:rFonts w:hint="eastAsia" w:ascii="宋体" w:hAnsi="宋体" w:cs="宋体" w:eastAsiaTheme="minorEastAsia"/>
                <w:b w:val="0"/>
                <w:bCs/>
                <w:w w:val="90"/>
                <w:kern w:val="0"/>
                <w:sz w:val="24"/>
              </w:rPr>
              <w:t>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清洁小流域治理工程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实施毛坝镇盘厢河、东木镇小石河生态治理等工程，为生态安全提供保障。</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spacing w:line="360" w:lineRule="auto"/>
              <w:ind w:firstLine="420"/>
              <w:rPr>
                <w:rFonts w:ascii="宋体" w:hAnsi="宋体" w:eastAsiaTheme="minorEastAsia"/>
                <w:b w:val="0"/>
                <w:bCs/>
                <w:sz w:val="24"/>
                <w:szCs w:val="24"/>
              </w:rPr>
            </w:pPr>
            <w:r>
              <w:rPr>
                <w:rFonts w:hint="eastAsia" w:asciiTheme="minorHAnsi" w:hAnsiTheme="minorHAnsi" w:eastAsiaTheme="minorEastAsia"/>
                <w:b w:val="0"/>
                <w:bCs/>
                <w:sz w:val="21"/>
              </w:rPr>
              <w:t xml:space="preserve"> </w:t>
            </w:r>
            <w:r>
              <w:rPr>
                <w:rFonts w:hint="eastAsia" w:ascii="宋体" w:hAnsi="宋体" w:cs="宋体" w:eastAsiaTheme="minorEastAsia"/>
                <w:b w:val="0"/>
                <w:bCs/>
                <w:w w:val="90"/>
                <w:kern w:val="0"/>
                <w:sz w:val="24"/>
                <w:szCs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防洪工程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实施瓦房店片区综合治理基础设施、汉王镇农安村堤防、高桥、权河重点段防洪、西门河5#拦渣坝等防洪工程。</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生物多样性保护工程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0"/>
              </w:rPr>
              <w:t>建立任河多鳞铲颌鱼国家级水产种质资源保护区和瀛湖库区野生鱼类天然产卵场保护区，建设野生动物监测救助站1个、野生动物疫源疫病监测站1个、无害化处理厂1个。</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23</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水利局</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退耕还林工程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实施退耕还林4万亩。</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1580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矿山生态恢复治理</w:t>
            </w:r>
          </w:p>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项目</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实施东木、城关、高桥、麻柳、蒿坪、洞河、高滩、瓦庙等镇</w:t>
            </w:r>
            <w:r>
              <w:rPr>
                <w:rFonts w:ascii="宋体" w:hAnsi="宋体" w:cs="宋体" w:eastAsiaTheme="minorEastAsia"/>
                <w:b w:val="0"/>
                <w:bCs/>
                <w:w w:val="90"/>
                <w:kern w:val="0"/>
                <w:sz w:val="24"/>
              </w:rPr>
              <w:t>15处矿区覆土覆绿及矿渣处置工程，搬迁塌陷区农户。</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4000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（三）乡风文明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2"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红色基因传承工程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4"/>
              </w:rPr>
              <w:t>做好中国人民解放军中原军区布告遗址、紫阳县卢楚衡、陈秀凤抗日义勇军联队发起地遗址等保护与开发，挖掘红色文化资源，建立紫阳县红色旅游基地。创新红色文化产品，探索体验式红色文化教育活动；举办红色文化进校园活动，以红色文化知识竞赛、实景演出、主题演讲等方式，提升青少年对红色文化、党史的认知。</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eastAsia="宋体" w:cs="宋体"/>
                <w:b w:val="0"/>
                <w:bCs/>
                <w:kern w:val="0"/>
                <w:sz w:val="24"/>
                <w:szCs w:val="24"/>
                <w:lang w:bidi="ar"/>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4"/>
                <w:szCs w:val="24"/>
              </w:rPr>
            </w:pPr>
            <w:r>
              <w:rPr>
                <w:rFonts w:hint="eastAsia" w:ascii="宋体" w:hAnsi="宋体" w:cs="宋体" w:eastAsiaTheme="minorEastAsia"/>
                <w:b w:val="0"/>
                <w:bCs/>
                <w:w w:val="90"/>
                <w:kern w:val="0"/>
                <w:sz w:val="24"/>
              </w:rPr>
              <w:t>5</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kern w:val="0"/>
                <w:sz w:val="24"/>
                <w:szCs w:val="24"/>
                <w:lang w:bidi="ar"/>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文旅局</w:t>
            </w:r>
          </w:p>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非物质文化遗产传承工程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4"/>
              </w:rPr>
              <w:t>对紫阳县彩莲船、金钱棍、五马棋、</w:t>
            </w:r>
            <w:r>
              <w:rPr>
                <w:rFonts w:ascii="宋体" w:hAnsi="宋体" w:cs="宋体" w:eastAsiaTheme="minorEastAsia"/>
                <w:b w:val="0"/>
                <w:bCs/>
                <w:w w:val="90"/>
                <w:kern w:val="0"/>
                <w:sz w:val="24"/>
                <w:szCs w:val="24"/>
              </w:rPr>
              <w:t>铁器传统制作技艺</w:t>
            </w:r>
            <w:r>
              <w:rPr>
                <w:rFonts w:hint="eastAsia" w:ascii="宋体" w:hAnsi="宋体" w:cs="宋体" w:eastAsiaTheme="minorEastAsia"/>
                <w:b w:val="0"/>
                <w:bCs/>
                <w:w w:val="90"/>
                <w:kern w:val="0"/>
                <w:sz w:val="24"/>
                <w:szCs w:val="24"/>
              </w:rPr>
              <w:t>等非物质文化遗产进行挖掘和保护，申报一批民间文学、传统舞蹈、传统体育、游艺等非物质文化遗产。</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eastAsia="宋体" w:cs="宋体"/>
                <w:b w:val="0"/>
                <w:bCs/>
                <w:kern w:val="0"/>
                <w:sz w:val="24"/>
                <w:szCs w:val="24"/>
                <w:lang w:bidi="ar"/>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4"/>
                <w:szCs w:val="24"/>
              </w:rPr>
            </w:pPr>
            <w:r>
              <w:rPr>
                <w:rFonts w:hint="eastAsia" w:ascii="宋体" w:hAnsi="宋体" w:cs="宋体" w:eastAsiaTheme="minorEastAsia"/>
                <w:b w:val="0"/>
                <w:bCs/>
                <w:w w:val="90"/>
                <w:kern w:val="0"/>
                <w:sz w:val="24"/>
              </w:rPr>
              <w:t>6</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kern w:val="0"/>
                <w:sz w:val="24"/>
                <w:szCs w:val="24"/>
                <w:lang w:bidi="ar"/>
              </w:rPr>
            </w:pPr>
            <w:r>
              <w:rPr>
                <w:rFonts w:hint="eastAsia" w:ascii="宋体" w:hAnsi="宋体" w:cs="宋体" w:eastAsiaTheme="minorEastAsia"/>
                <w:b w:val="0"/>
                <w:bCs/>
                <w:w w:val="90"/>
                <w:kern w:val="0"/>
                <w:sz w:val="24"/>
              </w:rPr>
              <w:t>2020-2023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乡村发展变迁物证征藏工程</w:t>
            </w:r>
          </w:p>
        </w:tc>
        <w:tc>
          <w:tcPr>
            <w:tcW w:w="92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4"/>
              </w:rPr>
              <w:t>征集新中国成立以来全县乡村经济社会发展的票证、生产工具、生活用品、交通通讯器材、家用电器等物证，使长期沉睡在库房的文物得以与观众见面，倡导社会公众珍藏保存。</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eastAsia="宋体" w:cs="宋体"/>
                <w:b w:val="0"/>
                <w:bCs/>
                <w:kern w:val="0"/>
                <w:sz w:val="24"/>
                <w:szCs w:val="24"/>
                <w:lang w:bidi="ar"/>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宋体" w:cs="Times New Roman"/>
                <w:b w:val="0"/>
                <w:bCs/>
                <w:sz w:val="24"/>
                <w:szCs w:val="24"/>
              </w:rPr>
            </w:pPr>
            <w:r>
              <w:rPr>
                <w:rFonts w:hint="eastAsia" w:ascii="宋体" w:hAnsi="宋体" w:cs="宋体" w:eastAsiaTheme="minorEastAsia"/>
                <w:b w:val="0"/>
                <w:bCs/>
                <w:w w:val="90"/>
                <w:kern w:val="0"/>
                <w:sz w:val="24"/>
              </w:rPr>
              <w:t>800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kern w:val="0"/>
                <w:sz w:val="24"/>
                <w:szCs w:val="24"/>
                <w:lang w:bidi="ar"/>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文旅局       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1"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39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eastAsia="宋体" w:cs="宋体"/>
                <w:b w:val="0"/>
                <w:bCs/>
                <w:w w:val="90"/>
                <w:kern w:val="0"/>
                <w:sz w:val="24"/>
              </w:rPr>
            </w:pPr>
            <w:r>
              <w:rPr>
                <w:rFonts w:hint="eastAsia" w:eastAsia="宋体" w:cs="Times New Roman"/>
                <w:b w:val="0"/>
                <w:bCs/>
                <w:w w:val="90"/>
                <w:kern w:val="0"/>
                <w:sz w:val="24"/>
                <w:szCs w:val="24"/>
              </w:rPr>
              <w:t>文化资源下乡工程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ascii="宋体" w:hAnsi="宋体" w:cs="宋体" w:eastAsiaTheme="minorEastAsia"/>
                <w:b w:val="0"/>
                <w:bCs/>
                <w:w w:val="90"/>
                <w:kern w:val="0"/>
                <w:sz w:val="24"/>
              </w:rPr>
            </w:pPr>
            <w:r>
              <w:rPr>
                <w:rFonts w:hint="eastAsia" w:eastAsia="宋体" w:cs="Times New Roman"/>
                <w:b w:val="0"/>
                <w:bCs/>
                <w:w w:val="90"/>
                <w:kern w:val="0"/>
                <w:sz w:val="24"/>
                <w:szCs w:val="24"/>
              </w:rPr>
              <w:t>每年送书下乡1000册，送电影下乡50场，送戏下乡</w:t>
            </w:r>
            <w:r>
              <w:rPr>
                <w:rFonts w:eastAsia="宋体" w:cs="Times New Roman"/>
                <w:b w:val="0"/>
                <w:bCs/>
                <w:w w:val="90"/>
                <w:kern w:val="0"/>
                <w:sz w:val="24"/>
                <w:szCs w:val="24"/>
              </w:rPr>
              <w:t>3</w:t>
            </w:r>
            <w:r>
              <w:rPr>
                <w:rFonts w:hint="eastAsia" w:eastAsia="宋体" w:cs="Times New Roman"/>
                <w:b w:val="0"/>
                <w:bCs/>
                <w:w w:val="90"/>
                <w:kern w:val="0"/>
                <w:sz w:val="24"/>
                <w:szCs w:val="24"/>
              </w:rPr>
              <w:t>0场，送展览讲座下乡50场，对全县乡村书院实施免费开放补助。每年安排非遗、音乐、舞蹈、戏曲等多方面1</w:t>
            </w:r>
            <w:r>
              <w:rPr>
                <w:rFonts w:eastAsia="宋体" w:cs="Times New Roman"/>
                <w:b w:val="0"/>
                <w:bCs/>
                <w:w w:val="90"/>
                <w:kern w:val="0"/>
                <w:sz w:val="24"/>
                <w:szCs w:val="24"/>
              </w:rPr>
              <w:t>00</w:t>
            </w:r>
            <w:r>
              <w:rPr>
                <w:rFonts w:hint="eastAsia" w:eastAsia="宋体" w:cs="Times New Roman"/>
                <w:b w:val="0"/>
                <w:bCs/>
                <w:w w:val="90"/>
                <w:kern w:val="0"/>
                <w:sz w:val="24"/>
                <w:szCs w:val="24"/>
              </w:rPr>
              <w:t>名文化专家下村结对，为民俗文化发展当好“指导员”，传承地域文化精粹，推动县域文化事业和文化产业发展。</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文旅局</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（四）治理有效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eastAsia="宋体" w:cs="宋体"/>
                <w:b w:val="0"/>
                <w:bCs/>
                <w:w w:val="90"/>
                <w:kern w:val="0"/>
                <w:sz w:val="24"/>
                <w:szCs w:val="20"/>
              </w:rPr>
              <w:t>治村导师联盟发展工程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eastAsia="宋体" w:cs="宋体"/>
                <w:b w:val="0"/>
                <w:bCs/>
                <w:w w:val="90"/>
                <w:kern w:val="0"/>
                <w:sz w:val="24"/>
                <w:szCs w:val="20"/>
              </w:rPr>
              <w:t>择优选聘</w:t>
            </w:r>
            <w:r>
              <w:rPr>
                <w:rFonts w:ascii="宋体" w:hAnsi="宋体" w:eastAsia="宋体" w:cs="宋体"/>
                <w:b w:val="0"/>
                <w:bCs/>
                <w:w w:val="90"/>
                <w:kern w:val="0"/>
                <w:sz w:val="24"/>
                <w:szCs w:val="20"/>
              </w:rPr>
              <w:t>15</w:t>
            </w:r>
            <w:r>
              <w:rPr>
                <w:rFonts w:hint="eastAsia" w:ascii="宋体" w:hAnsi="宋体" w:eastAsia="宋体" w:cs="宋体"/>
                <w:b w:val="0"/>
                <w:bCs/>
                <w:w w:val="90"/>
                <w:kern w:val="0"/>
                <w:sz w:val="24"/>
                <w:szCs w:val="20"/>
              </w:rPr>
              <w:t>名县级治村导师，建立治村导师联盟，通过巡回宣讲、书记论坛、结对帮带、集中巡诊等形式，为乡村振兴和全域提升农村党建提供支撑。</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县委组织部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网格化服务管理体系建设项目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按照50-300人确定1个网格员的标准，整合各类网格资源，完善选拔、管理、考核、奖励机制，规范收集社情民意、代办社会事务、宣传政策法规、排查调解矛盾纠纷、维护社会治安等工作流程，组建1000名网格员队伍。</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县委政法委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“雪亮工程”建设项目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一、二、三类前端点位共4250处，实现社会治安重要场所食品监控点和综治部门“雪亮工程”的互联互通；建设覆盖政府、公安机关与行业单位的横向汇聚网络和覆盖三级政府的纵向视频传输体系；建设县级雪亮工程成员单位共享及联网平台；建立健全安全保障体系和运维保障体系。</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4</w:t>
            </w:r>
            <w:r>
              <w:rPr>
                <w:rFonts w:hint="eastAsia" w:ascii="宋体" w:hAnsi="宋体" w:cs="宋体" w:eastAsiaTheme="minorEastAsia"/>
                <w:b w:val="0"/>
                <w:bCs/>
                <w:w w:val="90"/>
                <w:kern w:val="0"/>
                <w:sz w:val="24"/>
                <w:lang w:val="en-US" w:eastAsia="zh-CN"/>
              </w:rPr>
              <w:t>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eastAsia="宋体" w:cs="宋体"/>
                <w:b w:val="0"/>
                <w:bCs/>
                <w:w w:val="90"/>
                <w:kern w:val="0"/>
                <w:sz w:val="24"/>
                <w:szCs w:val="20"/>
              </w:rPr>
            </w:pPr>
            <w:r>
              <w:rPr>
                <w:rFonts w:hint="eastAsia" w:ascii="宋体" w:hAnsi="宋体" w:eastAsia="宋体" w:cs="宋体"/>
                <w:b w:val="0"/>
                <w:bCs/>
                <w:w w:val="90"/>
                <w:kern w:val="0"/>
                <w:sz w:val="24"/>
                <w:szCs w:val="20"/>
              </w:rPr>
              <w:t>智慧村庄建设试点</w:t>
            </w:r>
          </w:p>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eastAsia="宋体" w:cs="宋体"/>
                <w:b w:val="0"/>
                <w:bCs/>
                <w:w w:val="90"/>
                <w:kern w:val="0"/>
                <w:sz w:val="24"/>
                <w:szCs w:val="20"/>
              </w:rPr>
              <w:t>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eastAsia="宋体" w:cs="宋体"/>
                <w:b w:val="0"/>
                <w:bCs/>
                <w:w w:val="90"/>
                <w:kern w:val="0"/>
                <w:sz w:val="24"/>
                <w:szCs w:val="20"/>
              </w:rPr>
              <w:t>以信息基础设施高速化、农村公共服务便利化、村镇治理信息化为重点，建设智慧村庄综合管理服务平台。根据信息进村入户要求，分类建设简易型、标准型、专业型村级信息服务站和信息平台。</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经贸局</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（五）人才振兴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村两委班子素质提升工程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加大村两委班子人才引进力度，优化年龄、学历饥饿哦股，构建老中青三结合的干部队伍结构。引导村领导班子加强政策学习，吃透国家农业、农村政策和省市县党委、政府指示精神。积极组织村两委到外地或其他乡镇先进村学习取经，培养造就一支懂农业、爱农村、爱农民的“三农”工作队伍。</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600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4</w:t>
            </w:r>
            <w:r>
              <w:rPr>
                <w:rFonts w:hint="eastAsia" w:ascii="宋体" w:hAnsi="宋体" w:cs="宋体" w:eastAsiaTheme="minorEastAsia"/>
                <w:b w:val="0"/>
                <w:bCs/>
                <w:w w:val="90"/>
                <w:kern w:val="0"/>
                <w:sz w:val="24"/>
                <w:lang w:val="en-US" w:eastAsia="zh-CN"/>
              </w:rPr>
              <w:t>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村党组织带头人素质提升工程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聚焦外出务工经商人员、回乡大中专毕业生、复员退伍军人、大学生村官、致富带头人等群体，将党性强、能力强、改革意识强、服务意识强的优秀党员培养成村党组织带头人，建立县镇两级分级培训体系，突出现代农业、实用技术、市场经营等内容，大力提升村党组织带头人综合能力。强化监督管理，确保基层党组织带头人正确履职，充分发挥领头雁作用。</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1000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4</w:t>
            </w:r>
            <w:r>
              <w:rPr>
                <w:rFonts w:hint="eastAsia" w:ascii="宋体" w:hAnsi="宋体" w:cs="宋体" w:eastAsiaTheme="minorEastAsia"/>
                <w:b w:val="0"/>
                <w:bCs/>
                <w:w w:val="90"/>
                <w:kern w:val="0"/>
                <w:sz w:val="24"/>
                <w:lang w:val="en-US" w:eastAsia="zh-CN"/>
              </w:rPr>
              <w:t>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党员素质提升工程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eastAsia="宋体" w:cs="Times New Roman"/>
                <w:b w:val="0"/>
                <w:bCs/>
                <w:w w:val="90"/>
                <w:kern w:val="0"/>
                <w:sz w:val="24"/>
                <w:szCs w:val="20"/>
              </w:rPr>
            </w:pPr>
            <w:r>
              <w:rPr>
                <w:rFonts w:hint="eastAsia" w:cs="Times New Roman" w:eastAsiaTheme="minorEastAsia"/>
                <w:b w:val="0"/>
                <w:bCs/>
                <w:w w:val="90"/>
                <w:kern w:val="0"/>
                <w:sz w:val="24"/>
                <w:szCs w:val="20"/>
              </w:rPr>
              <w:t>常态化举办“三会一课”“两学一做”及“不忘初心、牢记使命”等主题教育，把习近平新时代中国特色社会主义思想武装头脑作为首要政治任务，依托各级党校主阵地，多样运用各类教育手段，建立高覆盖、多维度的党员教育体系，运用好学习强国APP，培养党员“终身学习”的习惯。</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4</w:t>
            </w:r>
            <w:r>
              <w:rPr>
                <w:rFonts w:hint="eastAsia" w:ascii="宋体" w:hAnsi="宋体" w:cs="宋体" w:eastAsiaTheme="minorEastAsia"/>
                <w:b w:val="0"/>
                <w:bCs/>
                <w:w w:val="90"/>
                <w:kern w:val="0"/>
                <w:sz w:val="24"/>
                <w:lang w:val="en-US" w:eastAsia="zh-CN"/>
              </w:rPr>
              <w:t>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cs="Times New Roman" w:eastAsiaTheme="minorEastAsia"/>
                <w:b w:val="0"/>
                <w:bCs/>
                <w:w w:val="90"/>
                <w:kern w:val="0"/>
                <w:sz w:val="24"/>
                <w:szCs w:val="20"/>
              </w:rPr>
              <w:t>新型职业农民培育</w:t>
            </w:r>
          </w:p>
          <w:p>
            <w:pPr>
              <w:widowControl/>
              <w:spacing w:line="240" w:lineRule="auto"/>
              <w:ind w:firstLine="0" w:firstLineChars="0"/>
              <w:jc w:val="left"/>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各镇村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cs="Times New Roman" w:eastAsiaTheme="minorEastAsia"/>
                <w:b w:val="0"/>
                <w:bCs/>
                <w:w w:val="90"/>
                <w:kern w:val="0"/>
                <w:sz w:val="24"/>
                <w:szCs w:val="20"/>
              </w:rPr>
              <w:t>创建全国新型职业农民培育示范基地1个、市级新型职业农民实训基地2个以上</w:t>
            </w:r>
            <w:r>
              <w:rPr>
                <w:rFonts w:hint="eastAsia" w:cs="Times New Roman" w:eastAsiaTheme="minorEastAsia"/>
                <w:b w:val="0"/>
                <w:bCs/>
                <w:w w:val="90"/>
                <w:kern w:val="0"/>
                <w:sz w:val="24"/>
                <w:szCs w:val="20"/>
              </w:rPr>
              <w:t>，</w:t>
            </w:r>
            <w:r>
              <w:rPr>
                <w:rFonts w:cs="Times New Roman" w:eastAsiaTheme="minorEastAsia"/>
                <w:b w:val="0"/>
                <w:bCs/>
                <w:w w:val="90"/>
                <w:kern w:val="0"/>
                <w:sz w:val="24"/>
                <w:szCs w:val="20"/>
              </w:rPr>
              <w:t>培育认定职业农民2000人以上</w:t>
            </w:r>
            <w:r>
              <w:rPr>
                <w:rFonts w:hint="eastAsia" w:cs="Times New Roman" w:eastAsiaTheme="minorEastAsia"/>
                <w:b w:val="0"/>
                <w:bCs/>
                <w:w w:val="90"/>
                <w:kern w:val="0"/>
                <w:sz w:val="24"/>
                <w:szCs w:val="20"/>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1</w:t>
            </w:r>
            <w:r>
              <w:rPr>
                <w:rFonts w:cs="Times New Roman" w:eastAsiaTheme="minorEastAsia"/>
                <w:b w:val="0"/>
                <w:bCs/>
                <w:w w:val="90"/>
                <w:kern w:val="0"/>
                <w:sz w:val="24"/>
                <w:szCs w:val="20"/>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农业农村局 </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农村劳动力质量提升工程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各镇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以培养产业扶贫工作“三能”型人才为目标，每年组织100名农技人员参加省、市、县轮训，不断提升农技人员素质。</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6</w:t>
            </w:r>
            <w:r>
              <w:rPr>
                <w:rFonts w:cs="Times New Roman" w:eastAsiaTheme="minorEastAsia"/>
                <w:b w:val="0"/>
                <w:bCs/>
                <w:w w:val="90"/>
                <w:kern w:val="0"/>
                <w:sz w:val="24"/>
                <w:szCs w:val="20"/>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农业农村局 </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3"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49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cs="Times New Roman" w:eastAsiaTheme="minorEastAsia"/>
                <w:b w:val="0"/>
                <w:bCs/>
                <w:w w:val="90"/>
                <w:kern w:val="0"/>
                <w:sz w:val="24"/>
                <w:szCs w:val="20"/>
              </w:rPr>
              <w:t>农业科研杰出人才培养</w:t>
            </w:r>
            <w:r>
              <w:rPr>
                <w:rFonts w:hint="eastAsia" w:cs="Times New Roman" w:eastAsiaTheme="minorEastAsia"/>
                <w:b w:val="0"/>
                <w:bCs/>
                <w:w w:val="90"/>
                <w:kern w:val="0"/>
                <w:sz w:val="24"/>
                <w:szCs w:val="20"/>
              </w:rPr>
              <w:t>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紫阳县</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rPr>
                <w:rFonts w:cs="Times New Roman" w:eastAsiaTheme="minorEastAsia"/>
                <w:b w:val="0"/>
                <w:bCs/>
                <w:w w:val="90"/>
                <w:kern w:val="0"/>
                <w:sz w:val="24"/>
                <w:szCs w:val="20"/>
              </w:rPr>
            </w:pPr>
            <w:r>
              <w:rPr>
                <w:rFonts w:cs="Times New Roman" w:eastAsiaTheme="minorEastAsia"/>
                <w:b w:val="0"/>
                <w:bCs/>
                <w:w w:val="90"/>
                <w:kern w:val="0"/>
                <w:sz w:val="24"/>
                <w:szCs w:val="20"/>
              </w:rPr>
              <w:t>完善农业科研人才激励机制、自主流动机制，打破部门、区域、学科界限，</w:t>
            </w:r>
            <w:r>
              <w:rPr>
                <w:rFonts w:hint="eastAsia" w:cs="Times New Roman" w:eastAsiaTheme="minorEastAsia"/>
                <w:b w:val="0"/>
                <w:bCs/>
                <w:w w:val="90"/>
                <w:kern w:val="0"/>
                <w:sz w:val="24"/>
                <w:szCs w:val="20"/>
              </w:rPr>
              <w:t>建立</w:t>
            </w:r>
            <w:r>
              <w:rPr>
                <w:rFonts w:cs="Times New Roman" w:eastAsiaTheme="minorEastAsia"/>
                <w:b w:val="0"/>
                <w:bCs/>
                <w:w w:val="90"/>
                <w:kern w:val="0"/>
                <w:sz w:val="24"/>
                <w:szCs w:val="20"/>
              </w:rPr>
              <w:t>以产业需求为导向、以产业链为主线的新型农业科技资源组合模式，培养农业科技人才和创新团</w:t>
            </w:r>
            <w:r>
              <w:rPr>
                <w:rFonts w:hint="eastAsia" w:cs="Times New Roman" w:eastAsiaTheme="minorEastAsia"/>
                <w:b w:val="0"/>
                <w:bCs/>
                <w:w w:val="90"/>
                <w:kern w:val="0"/>
                <w:sz w:val="24"/>
                <w:szCs w:val="20"/>
              </w:rPr>
              <w:t>。每年培养</w:t>
            </w:r>
            <w:r>
              <w:rPr>
                <w:rFonts w:cs="Times New Roman" w:eastAsiaTheme="minorEastAsia"/>
                <w:b w:val="0"/>
                <w:bCs/>
                <w:w w:val="90"/>
                <w:kern w:val="0"/>
                <w:sz w:val="24"/>
                <w:szCs w:val="20"/>
              </w:rPr>
              <w:t>农业科研杰出人才</w:t>
            </w:r>
            <w:r>
              <w:rPr>
                <w:rFonts w:hint="eastAsia" w:cs="Times New Roman" w:eastAsiaTheme="minorEastAsia"/>
                <w:b w:val="0"/>
                <w:bCs/>
                <w:w w:val="90"/>
                <w:kern w:val="0"/>
                <w:sz w:val="24"/>
                <w:szCs w:val="20"/>
              </w:rPr>
              <w:t>2</w:t>
            </w:r>
            <w:r>
              <w:rPr>
                <w:rFonts w:cs="Times New Roman" w:eastAsiaTheme="minorEastAsia"/>
                <w:b w:val="0"/>
                <w:bCs/>
                <w:w w:val="90"/>
                <w:kern w:val="0"/>
                <w:sz w:val="24"/>
                <w:szCs w:val="20"/>
              </w:rPr>
              <w:t>0</w:t>
            </w:r>
            <w:r>
              <w:rPr>
                <w:rFonts w:hint="eastAsia" w:cs="Times New Roman" w:eastAsiaTheme="minorEastAsia"/>
                <w:b w:val="0"/>
                <w:bCs/>
                <w:w w:val="90"/>
                <w:kern w:val="0"/>
                <w:sz w:val="24"/>
                <w:szCs w:val="20"/>
              </w:rPr>
              <w:t>人。</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w:t>
            </w:r>
          </w:p>
        </w:tc>
        <w:tc>
          <w:tcPr>
            <w:tcW w:w="88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w:t>
            </w:r>
            <w:r>
              <w:rPr>
                <w:rFonts w:ascii="宋体" w:hAnsi="宋体" w:cs="宋体" w:eastAsiaTheme="minorEastAsia"/>
                <w:b w:val="0"/>
                <w:bCs/>
                <w:w w:val="90"/>
                <w:kern w:val="0"/>
                <w:sz w:val="24"/>
              </w:rPr>
              <w:t>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 xml:space="preserve">农业农村局 </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13533" w:type="dxa"/>
            <w:gridSpan w:val="8"/>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（六）共同富裕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0"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50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“四好农村路”建设</w:t>
            </w:r>
            <w:r>
              <w:rPr>
                <w:rFonts w:hint="eastAsia" w:ascii="宋体" w:hAnsi="宋体" w:cs="宋体" w:eastAsiaTheme="minorEastAsia"/>
                <w:b w:val="0"/>
                <w:bCs/>
                <w:w w:val="90"/>
                <w:kern w:val="0"/>
                <w:sz w:val="24"/>
              </w:rPr>
              <w:t>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szCs w:val="20"/>
              </w:rPr>
              <w:t>实施洞河镇汝河河口桥-双桥公路、双桥至洄水公路、汉王至蒿坪公路、毛坝至瓦庙公路等城乡公路改建项目，完成紫阳县通村公路道路安全生命防护工程，实施桥梁、隧道、及灾毁治理等项目建设，不断改善居民出行条件</w:t>
            </w:r>
            <w:r>
              <w:rPr>
                <w:rFonts w:cs="Times New Roman" w:eastAsiaTheme="minorEastAsia"/>
                <w:b w:val="0"/>
                <w:bCs/>
                <w:w w:val="90"/>
                <w:kern w:val="0"/>
                <w:sz w:val="24"/>
                <w:szCs w:val="20"/>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51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桥梁建设项目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cs="Times New Roman" w:eastAsiaTheme="minorEastAsia"/>
                <w:b w:val="0"/>
                <w:bCs/>
                <w:w w:val="90"/>
                <w:kern w:val="0"/>
                <w:sz w:val="24"/>
                <w:szCs w:val="20"/>
              </w:rPr>
              <w:t>新建</w:t>
            </w:r>
            <w:r>
              <w:rPr>
                <w:rFonts w:hint="eastAsia" w:cs="Times New Roman" w:eastAsiaTheme="minorEastAsia"/>
                <w:b w:val="0"/>
                <w:bCs/>
                <w:w w:val="90"/>
                <w:kern w:val="0"/>
                <w:sz w:val="24"/>
                <w:szCs w:val="20"/>
              </w:rPr>
              <w:t>焕古跨汉江观景吊桥、城关和平跨汉江大桥，</w:t>
            </w:r>
            <w:r>
              <w:rPr>
                <w:rFonts w:cs="Times New Roman" w:eastAsiaTheme="minorEastAsia"/>
                <w:b w:val="0"/>
                <w:bCs/>
                <w:w w:val="90"/>
                <w:kern w:val="0"/>
                <w:sz w:val="24"/>
                <w:szCs w:val="20"/>
              </w:rPr>
              <w:t>温家坪跨任河大桥</w:t>
            </w:r>
            <w:r>
              <w:rPr>
                <w:rFonts w:hint="eastAsia" w:cs="Times New Roman" w:eastAsiaTheme="minorEastAsia"/>
                <w:b w:val="0"/>
                <w:bCs/>
                <w:w w:val="90"/>
                <w:kern w:val="0"/>
                <w:sz w:val="24"/>
                <w:szCs w:val="20"/>
              </w:rPr>
              <w:t>、芭蕉跨任河大桥，建设跨中小河流桥梁10座。</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tabs>
                <w:tab w:val="left" w:pos="357"/>
              </w:tabs>
              <w:spacing w:line="240" w:lineRule="auto"/>
              <w:ind w:firstLine="216" w:firstLineChars="100"/>
              <w:jc w:val="left"/>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5</w:t>
            </w:r>
            <w:r>
              <w:rPr>
                <w:rFonts w:hint="eastAsia" w:ascii="宋体" w:hAnsi="宋体" w:cs="宋体" w:eastAsiaTheme="minorEastAsia"/>
                <w:b w:val="0"/>
                <w:bCs/>
                <w:w w:val="90"/>
                <w:kern w:val="0"/>
                <w:sz w:val="24"/>
                <w:lang w:val="en-US" w:eastAsia="zh-CN"/>
              </w:rPr>
              <w:t>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客货运站建设项目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cs="Times New Roman" w:eastAsiaTheme="minorEastAsia"/>
                <w:b w:val="0"/>
                <w:bCs/>
                <w:w w:val="90"/>
                <w:kern w:val="0"/>
                <w:sz w:val="24"/>
                <w:szCs w:val="20"/>
              </w:rPr>
              <w:t>新建三级客货运站6个、四级货运站1个。</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2020-2023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53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客货运码头建设项目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cs="Times New Roman" w:eastAsiaTheme="minorEastAsia"/>
                <w:b w:val="0"/>
                <w:bCs/>
                <w:w w:val="90"/>
                <w:kern w:val="0"/>
                <w:sz w:val="24"/>
                <w:szCs w:val="20"/>
              </w:rPr>
              <w:t>新建汉王镇农安、塘磨子沟、紫阳港、紫阳海事驳船码头等四个码头，并配套候船艇及附属设施。</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7500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2021-2023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rPr>
              <w:t>5</w:t>
            </w:r>
            <w:r>
              <w:rPr>
                <w:rFonts w:hint="eastAsia" w:ascii="宋体" w:hAnsi="宋体" w:cs="宋体" w:eastAsiaTheme="minorEastAsia"/>
                <w:b w:val="0"/>
                <w:bCs/>
                <w:w w:val="90"/>
                <w:kern w:val="0"/>
                <w:sz w:val="24"/>
                <w:lang w:val="en-US" w:eastAsia="zh-CN"/>
              </w:rPr>
              <w:t>4</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标准化渡口建设项目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新建汉王、金川、焕古、和平、前河等5个标准化渡口。</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2021-2023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rPr>
              <w:t>5</w:t>
            </w:r>
            <w:r>
              <w:rPr>
                <w:rFonts w:hint="eastAsia" w:ascii="宋体" w:hAnsi="宋体" w:cs="宋体" w:eastAsiaTheme="minorEastAsia"/>
                <w:b w:val="0"/>
                <w:bCs/>
                <w:w w:val="90"/>
                <w:kern w:val="0"/>
                <w:sz w:val="24"/>
                <w:lang w:val="en-US" w:eastAsia="zh-CN"/>
              </w:rPr>
              <w:t>5</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农村物流配送中心建设项目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新建17个镇级、140个村级物流配送中心，每个镇级物流中心500平方米，村级物流中心50平方米。</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2021-2023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rPr>
              <w:t>5</w:t>
            </w:r>
            <w:r>
              <w:rPr>
                <w:rFonts w:hint="eastAsia" w:ascii="宋体" w:hAnsi="宋体" w:cs="宋体" w:eastAsiaTheme="minorEastAsia"/>
                <w:b w:val="0"/>
                <w:bCs/>
                <w:w w:val="90"/>
                <w:kern w:val="0"/>
                <w:sz w:val="24"/>
                <w:lang w:val="en-US" w:eastAsia="zh-CN"/>
              </w:rPr>
              <w:t>6</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安全饮水工</w:t>
            </w:r>
            <w:r>
              <w:rPr>
                <w:rFonts w:hint="eastAsia" w:ascii="宋体" w:hAnsi="宋体" w:cs="宋体" w:eastAsiaTheme="minorEastAsia"/>
                <w:b w:val="0"/>
                <w:bCs/>
                <w:w w:val="90"/>
                <w:kern w:val="0"/>
                <w:sz w:val="24"/>
                <w:szCs w:val="20"/>
              </w:rPr>
              <w:t>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相关镇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cs="Times New Roman" w:eastAsiaTheme="minorEastAsia"/>
                <w:b w:val="0"/>
                <w:bCs/>
                <w:w w:val="90"/>
                <w:kern w:val="0"/>
                <w:sz w:val="24"/>
                <w:szCs w:val="20"/>
              </w:rPr>
            </w:pPr>
            <w:r>
              <w:rPr>
                <w:rFonts w:hint="eastAsia" w:cs="Times New Roman" w:eastAsiaTheme="minorEastAsia"/>
                <w:b w:val="0"/>
                <w:bCs/>
                <w:w w:val="90"/>
                <w:kern w:val="0"/>
                <w:sz w:val="24"/>
                <w:szCs w:val="20"/>
              </w:rPr>
              <w:t>在石转河新建饮水低坝、建设水厂、抽水泵、铺设管网等，解决紫阳工业园区、双星社区等地及蒿坪集镇居民生活应急供水和补水问题；对农村老旧供水管网及水质进行改造提升，建立专项养护基金，确保农村饮水工程发挥长效作用。</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2019-202</w:t>
            </w:r>
            <w:r>
              <w:rPr>
                <w:rFonts w:hint="eastAsia" w:ascii="宋体" w:hAnsi="宋体" w:cs="宋体" w:eastAsiaTheme="minorEastAsia"/>
                <w:b w:val="0"/>
                <w:bCs/>
                <w:w w:val="90"/>
                <w:kern w:val="0"/>
                <w:sz w:val="24"/>
              </w:rPr>
              <w:t>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rPr>
              <w:t>5</w:t>
            </w:r>
            <w:r>
              <w:rPr>
                <w:rFonts w:hint="eastAsia" w:ascii="宋体" w:hAnsi="宋体" w:cs="宋体" w:eastAsiaTheme="minorEastAsia"/>
                <w:b w:val="0"/>
                <w:bCs/>
                <w:w w:val="90"/>
                <w:kern w:val="0"/>
                <w:sz w:val="24"/>
                <w:lang w:val="en-US" w:eastAsia="zh-CN"/>
              </w:rPr>
              <w:t>7</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数字乡村建设</w:t>
            </w:r>
            <w:r>
              <w:rPr>
                <w:rFonts w:ascii="宋体" w:hAnsi="宋体" w:cs="宋体" w:eastAsiaTheme="minorEastAsia"/>
                <w:b w:val="0"/>
                <w:bCs/>
                <w:w w:val="90"/>
                <w:kern w:val="0"/>
                <w:sz w:val="24"/>
              </w:rPr>
              <w:t>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信息网络改造升级，推动5G网络</w:t>
            </w:r>
            <w:r>
              <w:rPr>
                <w:rFonts w:hint="eastAsia" w:ascii="宋体" w:hAnsi="宋体" w:cs="宋体" w:eastAsiaTheme="minorEastAsia"/>
                <w:b w:val="0"/>
                <w:bCs/>
                <w:w w:val="90"/>
                <w:kern w:val="0"/>
                <w:sz w:val="24"/>
              </w:rPr>
              <w:t>规模化部署</w:t>
            </w:r>
            <w:r>
              <w:rPr>
                <w:rFonts w:ascii="宋体" w:hAnsi="宋体" w:cs="宋体" w:eastAsiaTheme="minorEastAsia"/>
                <w:b w:val="0"/>
                <w:bCs/>
                <w:w w:val="90"/>
                <w:kern w:val="0"/>
                <w:sz w:val="24"/>
              </w:rPr>
              <w:t>和</w:t>
            </w:r>
            <w:r>
              <w:rPr>
                <w:rFonts w:hint="eastAsia" w:ascii="宋体" w:hAnsi="宋体" w:cs="宋体" w:eastAsiaTheme="minorEastAsia"/>
                <w:b w:val="0"/>
                <w:bCs/>
                <w:w w:val="90"/>
                <w:kern w:val="0"/>
                <w:sz w:val="24"/>
              </w:rPr>
              <w:t>商业化应用</w:t>
            </w:r>
            <w:r>
              <w:rPr>
                <w:rFonts w:ascii="宋体" w:hAnsi="宋体" w:cs="宋体" w:eastAsiaTheme="minorEastAsia"/>
                <w:b w:val="0"/>
                <w:bCs/>
                <w:w w:val="90"/>
                <w:kern w:val="0"/>
                <w:sz w:val="24"/>
              </w:rPr>
              <w:t>；统筹各类信息资源，组建县级应急指挥中心</w:t>
            </w:r>
            <w:r>
              <w:rPr>
                <w:rFonts w:hint="eastAsia" w:ascii="宋体" w:hAnsi="宋体" w:cs="宋体" w:eastAsiaTheme="minorEastAsia"/>
                <w:b w:val="0"/>
                <w:bCs/>
                <w:w w:val="90"/>
                <w:kern w:val="0"/>
                <w:sz w:val="24"/>
              </w:rPr>
              <w:t>。</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30000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经贸局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lang w:val="en-US" w:eastAsia="zh-CN"/>
              </w:rPr>
              <w:t>58</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hint="eastAsia" w:eastAsia="宋体" w:cs="Times New Roman"/>
                <w:b w:val="0"/>
                <w:bCs/>
                <w:w w:val="90"/>
                <w:sz w:val="24"/>
                <w:szCs w:val="20"/>
              </w:rPr>
              <w:t>优质义务教育均衡县建设项目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加快教育公共资源整合，推进全县义务教育标准化学校建设，加大教育信息化建设力度，着力打造校园安防监控、交互式零距离授课、智慧教育城域网等平台建设，实施农村学校小班化教育，推动全县教育向更高标准、更高层次发展。</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szCs w:val="22"/>
                <w:lang w:val="en-US" w:eastAsia="zh-CN" w:bidi="ar-SA"/>
              </w:rPr>
            </w:pPr>
            <w:r>
              <w:rPr>
                <w:rFonts w:hint="eastAsia" w:ascii="宋体" w:hAnsi="宋体" w:cs="宋体" w:eastAsiaTheme="minorEastAsia"/>
                <w:b w:val="0"/>
                <w:bCs/>
                <w:w w:val="90"/>
                <w:kern w:val="0"/>
                <w:sz w:val="24"/>
                <w:lang w:val="en-US" w:eastAsia="zh-CN"/>
              </w:rPr>
              <w:t>59</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w w:val="90"/>
                <w:sz w:val="24"/>
                <w:szCs w:val="20"/>
              </w:rPr>
            </w:pPr>
            <w:r>
              <w:rPr>
                <w:rFonts w:hint="eastAsia" w:eastAsia="宋体" w:cs="Times New Roman"/>
                <w:b w:val="0"/>
                <w:bCs/>
                <w:w w:val="90"/>
                <w:sz w:val="24"/>
                <w:szCs w:val="20"/>
              </w:rPr>
              <w:t>高中教育提升工程</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毛坝镇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紫阳中学新建公寓楼8000平方米、餐厅5000平方米；毛坝中学新建综合楼6000平方米，学生公寓、食堂餐厅5000平方米；新建职教中心实训基地。</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10500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2019</w:t>
            </w:r>
            <w:r>
              <w:rPr>
                <w:rFonts w:hint="eastAsia" w:ascii="宋体" w:hAnsi="宋体" w:cs="宋体" w:eastAsiaTheme="minorEastAsia"/>
                <w:b w:val="0"/>
                <w:bCs/>
                <w:w w:val="90"/>
                <w:kern w:val="0"/>
                <w:sz w:val="24"/>
              </w:rPr>
              <w:t>-2021</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60</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s="Times New Roman"/>
                <w:b w:val="0"/>
                <w:bCs/>
                <w:w w:val="90"/>
                <w:sz w:val="24"/>
                <w:szCs w:val="20"/>
              </w:rPr>
            </w:pPr>
            <w:r>
              <w:rPr>
                <w:rFonts w:hint="eastAsia" w:eastAsia="宋体" w:cs="Times New Roman"/>
                <w:b w:val="0"/>
                <w:bCs/>
                <w:w w:val="90"/>
                <w:sz w:val="24"/>
                <w:szCs w:val="20"/>
              </w:rPr>
              <w:t>远程教育建设项目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eastAsia="宋体" w:cs="Times New Roman"/>
                <w:b w:val="0"/>
                <w:bCs/>
                <w:w w:val="90"/>
                <w:sz w:val="24"/>
                <w:szCs w:val="20"/>
              </w:rPr>
            </w:pPr>
            <w:r>
              <w:rPr>
                <w:rFonts w:hint="eastAsia" w:ascii="宋体" w:hAnsi="宋体" w:cs="宋体" w:eastAsiaTheme="minorEastAsia"/>
                <w:b w:val="0"/>
                <w:bCs/>
                <w:w w:val="90"/>
                <w:kern w:val="0"/>
                <w:sz w:val="24"/>
              </w:rPr>
              <w:t>不断推进紫阳县远程教育“三通两平台”建设，着力推进优质资源</w:t>
            </w:r>
            <w:r>
              <w:rPr>
                <w:b w:val="0"/>
                <w:bCs/>
              </w:rPr>
              <w:fldChar w:fldCharType="begin"/>
            </w:r>
            <w:r>
              <w:rPr>
                <w:b w:val="0"/>
                <w:bCs/>
              </w:rPr>
              <w:instrText xml:space="preserve"> HYPERLINK "https://baike.baidu.com/item/%E7%8F%AD%E7%8F%AD%E9%80%9A/5826761" \t "https://baike.baidu.com/item/%E4%B8%89%E9%80%9A%E4%B8%A4%E5%B9%B3%E5%8F%B0/_blank" </w:instrText>
            </w:r>
            <w:r>
              <w:rPr>
                <w:b w:val="0"/>
                <w:bCs/>
              </w:rPr>
              <w:fldChar w:fldCharType="separate"/>
            </w:r>
            <w:r>
              <w:rPr>
                <w:rFonts w:hint="eastAsia" w:ascii="宋体" w:hAnsi="宋体" w:cs="宋体" w:eastAsiaTheme="minorEastAsia"/>
                <w:b w:val="0"/>
                <w:bCs/>
                <w:w w:val="90"/>
                <w:kern w:val="0"/>
                <w:sz w:val="24"/>
              </w:rPr>
              <w:t>班班通</w:t>
            </w:r>
            <w:r>
              <w:rPr>
                <w:rFonts w:hint="eastAsia" w:ascii="宋体" w:hAnsi="宋体" w:cs="宋体" w:eastAsiaTheme="minorEastAsia"/>
                <w:b w:val="0"/>
                <w:bCs/>
                <w:w w:val="90"/>
                <w:kern w:val="0"/>
                <w:sz w:val="24"/>
              </w:rPr>
              <w:fldChar w:fldCharType="end"/>
            </w:r>
            <w:r>
              <w:rPr>
                <w:rFonts w:hint="eastAsia" w:ascii="宋体" w:hAnsi="宋体" w:cs="宋体" w:eastAsiaTheme="minorEastAsia"/>
                <w:b w:val="0"/>
                <w:bCs/>
                <w:w w:val="90"/>
                <w:kern w:val="0"/>
                <w:sz w:val="24"/>
              </w:rPr>
              <w:t>、网络学习空间</w:t>
            </w:r>
            <w:r>
              <w:rPr>
                <w:b w:val="0"/>
                <w:bCs/>
              </w:rPr>
              <w:fldChar w:fldCharType="begin"/>
            </w:r>
            <w:r>
              <w:rPr>
                <w:b w:val="0"/>
                <w:bCs/>
              </w:rPr>
              <w:instrText xml:space="preserve"> HYPERLINK "https://baike.baidu.com/item/%E4%BA%BA%E4%BA%BA%E9%80%9A/4072178" \t "https://baike.baidu.com/item/%E4%B8%89%E9%80%9A%E4%B8%A4%E5%B9%B3%E5%8F%B0/_blank" </w:instrText>
            </w:r>
            <w:r>
              <w:rPr>
                <w:b w:val="0"/>
                <w:bCs/>
              </w:rPr>
              <w:fldChar w:fldCharType="separate"/>
            </w:r>
            <w:r>
              <w:rPr>
                <w:rFonts w:hint="eastAsia" w:ascii="宋体" w:hAnsi="宋体" w:cs="宋体" w:eastAsiaTheme="minorEastAsia"/>
                <w:b w:val="0"/>
                <w:bCs/>
                <w:w w:val="90"/>
                <w:kern w:val="0"/>
                <w:sz w:val="24"/>
              </w:rPr>
              <w:t>人人通</w:t>
            </w:r>
            <w:r>
              <w:rPr>
                <w:rFonts w:hint="eastAsia" w:ascii="宋体" w:hAnsi="宋体" w:cs="宋体" w:eastAsiaTheme="minorEastAsia"/>
                <w:b w:val="0"/>
                <w:bCs/>
                <w:w w:val="90"/>
                <w:kern w:val="0"/>
                <w:sz w:val="24"/>
              </w:rPr>
              <w:fldChar w:fldCharType="end"/>
            </w:r>
            <w:r>
              <w:rPr>
                <w:rFonts w:hint="eastAsia" w:ascii="宋体" w:hAnsi="宋体" w:cs="宋体" w:eastAsiaTheme="minorEastAsia"/>
                <w:b w:val="0"/>
                <w:bCs/>
                <w:w w:val="90"/>
                <w:kern w:val="0"/>
                <w:sz w:val="24"/>
              </w:rPr>
              <w:t>，建设</w:t>
            </w:r>
            <w:r>
              <w:rPr>
                <w:b w:val="0"/>
                <w:bCs/>
              </w:rPr>
              <w:fldChar w:fldCharType="begin"/>
            </w:r>
            <w:r>
              <w:rPr>
                <w:b w:val="0"/>
                <w:bCs/>
              </w:rPr>
              <w:instrText xml:space="preserve"> HYPERLINK "https://baike.baidu.com/item/%E6%95%99%E8%82%B2%E8%B5%84%E6%BA%90/2502081" \t "https://baike.baidu.com/item/%E4%B8%89%E9%80%9A%E4%B8%A4%E5%B9%B3%E5%8F%B0/_blank" </w:instrText>
            </w:r>
            <w:r>
              <w:rPr>
                <w:b w:val="0"/>
                <w:bCs/>
              </w:rPr>
              <w:fldChar w:fldCharType="separate"/>
            </w:r>
            <w:r>
              <w:rPr>
                <w:rFonts w:hint="eastAsia" w:ascii="宋体" w:hAnsi="宋体" w:cs="宋体" w:eastAsiaTheme="minorEastAsia"/>
                <w:b w:val="0"/>
                <w:bCs/>
                <w:w w:val="90"/>
                <w:kern w:val="0"/>
                <w:sz w:val="24"/>
              </w:rPr>
              <w:t>教育资源</w:t>
            </w:r>
            <w:r>
              <w:rPr>
                <w:rFonts w:hint="eastAsia" w:ascii="宋体" w:hAnsi="宋体" w:cs="宋体" w:eastAsiaTheme="minorEastAsia"/>
                <w:b w:val="0"/>
                <w:bCs/>
                <w:w w:val="90"/>
                <w:kern w:val="0"/>
                <w:sz w:val="24"/>
              </w:rPr>
              <w:fldChar w:fldCharType="end"/>
            </w:r>
            <w:r>
              <w:rPr>
                <w:rFonts w:hint="eastAsia" w:ascii="宋体" w:hAnsi="宋体" w:cs="宋体" w:eastAsiaTheme="minorEastAsia"/>
                <w:b w:val="0"/>
                <w:bCs/>
                <w:w w:val="90"/>
                <w:kern w:val="0"/>
                <w:sz w:val="24"/>
              </w:rPr>
              <w:t>公共服务平台、</w:t>
            </w:r>
            <w:r>
              <w:rPr>
                <w:b w:val="0"/>
                <w:bCs/>
              </w:rPr>
              <w:fldChar w:fldCharType="begin"/>
            </w:r>
            <w:r>
              <w:rPr>
                <w:b w:val="0"/>
                <w:bCs/>
              </w:rPr>
              <w:instrText xml:space="preserve"> HYPERLINK "https://baike.baidu.com/item/%E6%95%99%E8%82%B2%E7%AE%A1%E7%90%86/1040753" \t "https://baike.baidu.com/item/%E4%B8%89%E9%80%9A%E4%B8%A4%E5%B9%B3%E5%8F%B0/_blank" </w:instrText>
            </w:r>
            <w:r>
              <w:rPr>
                <w:b w:val="0"/>
                <w:bCs/>
              </w:rPr>
              <w:fldChar w:fldCharType="separate"/>
            </w:r>
            <w:r>
              <w:rPr>
                <w:rFonts w:hint="eastAsia" w:ascii="宋体" w:hAnsi="宋体" w:cs="宋体" w:eastAsiaTheme="minorEastAsia"/>
                <w:b w:val="0"/>
                <w:bCs/>
                <w:w w:val="90"/>
                <w:kern w:val="0"/>
                <w:sz w:val="24"/>
              </w:rPr>
              <w:t>教育管理</w:t>
            </w:r>
            <w:r>
              <w:rPr>
                <w:rFonts w:hint="eastAsia" w:ascii="宋体" w:hAnsi="宋体" w:cs="宋体" w:eastAsiaTheme="minorEastAsia"/>
                <w:b w:val="0"/>
                <w:bCs/>
                <w:w w:val="90"/>
                <w:kern w:val="0"/>
                <w:sz w:val="24"/>
              </w:rPr>
              <w:fldChar w:fldCharType="end"/>
            </w:r>
            <w:r>
              <w:rPr>
                <w:rFonts w:hint="eastAsia" w:ascii="宋体" w:hAnsi="宋体" w:cs="宋体" w:eastAsiaTheme="minorEastAsia"/>
                <w:b w:val="0"/>
                <w:bCs/>
                <w:w w:val="90"/>
                <w:kern w:val="0"/>
                <w:sz w:val="24"/>
              </w:rPr>
              <w:t>公共服务平台建设，加大教师网络教育专项培训力度，推动农村学生获取优质教育资源。</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5000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教体科技局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6"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61</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eastAsia="宋体" w:cs="Times New Roman"/>
                <w:b w:val="0"/>
                <w:bCs/>
                <w:w w:val="90"/>
                <w:sz w:val="24"/>
                <w:szCs w:val="20"/>
              </w:rPr>
            </w:pPr>
            <w:r>
              <w:rPr>
                <w:rFonts w:hint="eastAsia" w:eastAsia="宋体" w:cs="Times New Roman"/>
                <w:b w:val="0"/>
                <w:bCs/>
                <w:w w:val="90"/>
                <w:sz w:val="24"/>
                <w:szCs w:val="20"/>
              </w:rPr>
              <w:t>县人民医院门诊医技楼建设项目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城关镇</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建设门诊医技楼3.26万平方米。</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11</w:t>
            </w:r>
            <w:r>
              <w:rPr>
                <w:rFonts w:ascii="宋体" w:hAnsi="宋体" w:cs="宋体" w:eastAsiaTheme="minorEastAsia"/>
                <w:b w:val="0"/>
                <w:bCs/>
                <w:w w:val="90"/>
                <w:kern w:val="0"/>
                <w:sz w:val="24"/>
              </w:rPr>
              <w:t>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2020-2023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宋体" w:hAnsi="宋体" w:cs="宋体" w:eastAsiaTheme="minorEastAsia"/>
                <w:b w:val="0"/>
                <w:bCs/>
                <w:w w:val="90"/>
                <w:kern w:val="0"/>
                <w:sz w:val="24"/>
                <w:lang w:eastAsia="zh-CN"/>
              </w:rPr>
            </w:pPr>
            <w:r>
              <w:rPr>
                <w:rFonts w:hint="eastAsia" w:ascii="宋体" w:hAnsi="宋体" w:cs="宋体" w:eastAsiaTheme="minorEastAsia"/>
                <w:b w:val="0"/>
                <w:bCs/>
                <w:w w:val="90"/>
                <w:kern w:val="0"/>
                <w:sz w:val="24"/>
              </w:rPr>
              <w:t>6</w:t>
            </w:r>
            <w:r>
              <w:rPr>
                <w:rFonts w:hint="eastAsia" w:ascii="宋体" w:hAnsi="宋体" w:cs="宋体" w:eastAsiaTheme="minorEastAsia"/>
                <w:b w:val="0"/>
                <w:bCs/>
                <w:w w:val="90"/>
                <w:kern w:val="0"/>
                <w:sz w:val="24"/>
                <w:lang w:val="en-US" w:eastAsia="zh-CN"/>
              </w:rPr>
              <w:t>2</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紫阳县5G医疗示范项目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紫阳县</w:t>
            </w:r>
          </w:p>
        </w:tc>
        <w:tc>
          <w:tcPr>
            <w:tcW w:w="6281" w:type="dxa"/>
            <w:tcBorders>
              <w:tl2br w:val="nil"/>
              <w:tr2bl w:val="nil"/>
            </w:tcBorders>
            <w:shd w:val="clear" w:color="auto" w:fill="auto"/>
            <w:tcMar>
              <w:top w:w="15" w:type="dxa"/>
              <w:left w:w="15" w:type="dxa"/>
              <w:right w:w="15" w:type="dxa"/>
            </w:tcMar>
            <w:vAlign w:val="center"/>
          </w:tcPr>
          <w:p>
            <w:pPr>
              <w:widowControl/>
              <w:numPr>
                <w:ilvl w:val="255"/>
                <w:numId w:val="0"/>
              </w:numPr>
              <w:spacing w:line="240" w:lineRule="auto"/>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建设县域全民健康信息平台，实现县域内信息共享；建设县卫生健康信息标准化机房，购置机房相关设备；完善全县居民电子健康卡；</w:t>
            </w:r>
          </w:p>
          <w:p>
            <w:pPr>
              <w:widowControl/>
              <w:numPr>
                <w:ilvl w:val="255"/>
                <w:numId w:val="0"/>
              </w:numPr>
              <w:spacing w:line="240" w:lineRule="auto"/>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优化县域远程医疗平台；建设县局与各医疗点连接的应急处置系统；建成健康信息服务APP；健全网络与信息安全保障体系；</w:t>
            </w:r>
            <w:r>
              <w:rPr>
                <w:rFonts w:hint="eastAsia" w:ascii="宋体" w:hAnsi="宋体" w:cs="宋体" w:eastAsiaTheme="minorEastAsia"/>
                <w:b w:val="0"/>
                <w:bCs/>
                <w:w w:val="90"/>
                <w:kern w:val="0"/>
                <w:sz w:val="24"/>
              </w:rPr>
              <w:t>推进</w:t>
            </w:r>
            <w:r>
              <w:rPr>
                <w:rFonts w:ascii="宋体" w:hAnsi="宋体" w:cs="宋体" w:eastAsiaTheme="minorEastAsia"/>
                <w:b w:val="0"/>
                <w:bCs/>
                <w:w w:val="90"/>
                <w:kern w:val="0"/>
                <w:sz w:val="24"/>
              </w:rPr>
              <w:t>县镇村三级医疗卫生单位信息化建设。</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新建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20000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宋体" w:hAnsi="宋体" w:cs="宋体" w:eastAsiaTheme="minorEastAsia"/>
                <w:b w:val="0"/>
                <w:bCs/>
                <w:w w:val="90"/>
                <w:kern w:val="0"/>
                <w:sz w:val="24"/>
                <w:lang w:val="en-US" w:eastAsia="zh-CN"/>
              </w:rPr>
            </w:pPr>
            <w:r>
              <w:rPr>
                <w:rFonts w:hint="eastAsia" w:ascii="宋体" w:hAnsi="宋体" w:cs="宋体" w:eastAsiaTheme="minorEastAsia"/>
                <w:b w:val="0"/>
                <w:bCs/>
                <w:w w:val="90"/>
                <w:kern w:val="0"/>
                <w:sz w:val="24"/>
                <w:lang w:val="en-US" w:eastAsia="zh-CN"/>
              </w:rPr>
              <w:t>63</w:t>
            </w: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r>
              <w:rPr>
                <w:rFonts w:ascii="宋体" w:hAnsi="宋体" w:cs="宋体" w:eastAsiaTheme="minorEastAsia"/>
                <w:b w:val="0"/>
                <w:bCs/>
                <w:w w:val="90"/>
                <w:kern w:val="0"/>
                <w:sz w:val="24"/>
              </w:rPr>
              <w:t>养老服务建设</w:t>
            </w:r>
            <w:r>
              <w:rPr>
                <w:rFonts w:hint="eastAsia" w:ascii="宋体" w:hAnsi="宋体" w:cs="宋体" w:eastAsiaTheme="minorEastAsia"/>
                <w:b w:val="0"/>
                <w:bCs/>
                <w:w w:val="90"/>
                <w:kern w:val="0"/>
                <w:sz w:val="24"/>
              </w:rPr>
              <w:t>项目</w:t>
            </w: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各镇村</w:t>
            </w: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建设</w:t>
            </w:r>
            <w:r>
              <w:rPr>
                <w:rFonts w:ascii="宋体" w:hAnsi="宋体" w:cs="宋体" w:eastAsiaTheme="minorEastAsia"/>
                <w:b w:val="0"/>
                <w:bCs/>
                <w:w w:val="90"/>
                <w:kern w:val="0"/>
                <w:sz w:val="24"/>
              </w:rPr>
              <w:t>16个社区日间照料中心</w:t>
            </w:r>
            <w:r>
              <w:rPr>
                <w:rFonts w:hint="eastAsia" w:ascii="宋体" w:hAnsi="宋体" w:cs="宋体" w:eastAsiaTheme="minorEastAsia"/>
                <w:b w:val="0"/>
                <w:bCs/>
                <w:w w:val="90"/>
                <w:kern w:val="0"/>
                <w:sz w:val="24"/>
              </w:rPr>
              <w:t>、</w:t>
            </w:r>
            <w:r>
              <w:rPr>
                <w:rFonts w:ascii="宋体" w:hAnsi="宋体" w:cs="宋体" w:eastAsiaTheme="minorEastAsia"/>
                <w:b w:val="0"/>
                <w:bCs/>
                <w:w w:val="90"/>
                <w:kern w:val="0"/>
                <w:sz w:val="24"/>
              </w:rPr>
              <w:t>175个农村幸福院</w:t>
            </w:r>
            <w:r>
              <w:rPr>
                <w:rFonts w:hint="eastAsia" w:ascii="宋体" w:hAnsi="宋体" w:cs="宋体" w:eastAsiaTheme="minorEastAsia"/>
                <w:b w:val="0"/>
                <w:bCs/>
                <w:w w:val="90"/>
                <w:kern w:val="0"/>
                <w:sz w:val="24"/>
              </w:rPr>
              <w:t>。</w:t>
            </w:r>
            <w:r>
              <w:rPr>
                <w:rFonts w:hint="eastAsia" w:cs="Times New Roman" w:eastAsiaTheme="minorEastAsia"/>
                <w:b w:val="0"/>
                <w:bCs/>
                <w:w w:val="90"/>
                <w:kern w:val="0"/>
                <w:sz w:val="24"/>
              </w:rPr>
              <w:t>新建沿江区域性高端养老社区，配套公共服务设施及辅助设施。</w:t>
            </w: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续建</w:t>
            </w: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6050</w:t>
            </w: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2019-2023</w:t>
            </w: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r>
              <w:rPr>
                <w:rFonts w:hint="eastAsia" w:ascii="宋体" w:hAnsi="宋体" w:cs="宋体" w:eastAsiaTheme="minorEastAsia"/>
                <w:b w:val="0"/>
                <w:bCs/>
                <w:w w:val="90"/>
                <w:kern w:val="0"/>
                <w:sz w:val="24"/>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47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c>
          <w:tcPr>
            <w:tcW w:w="18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宋体" w:hAnsi="宋体" w:cs="宋体" w:eastAsiaTheme="minorEastAsia"/>
                <w:b w:val="0"/>
                <w:bCs/>
                <w:w w:val="90"/>
                <w:kern w:val="0"/>
                <w:sz w:val="24"/>
              </w:rPr>
            </w:pPr>
          </w:p>
        </w:tc>
        <w:tc>
          <w:tcPr>
            <w:tcW w:w="92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c>
          <w:tcPr>
            <w:tcW w:w="628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ascii="宋体" w:hAnsi="宋体" w:cs="宋体" w:eastAsiaTheme="minorEastAsia"/>
                <w:b w:val="0"/>
                <w:bCs/>
                <w:w w:val="90"/>
                <w:kern w:val="0"/>
                <w:sz w:val="24"/>
              </w:rPr>
            </w:pPr>
          </w:p>
        </w:tc>
        <w:tc>
          <w:tcPr>
            <w:tcW w:w="60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c>
          <w:tcPr>
            <w:tcW w:w="88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c>
          <w:tcPr>
            <w:tcW w:w="1158"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c>
          <w:tcPr>
            <w:tcW w:w="138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宋体" w:hAnsi="宋体" w:cs="宋体" w:eastAsiaTheme="minorEastAsia"/>
                <w:b w:val="0"/>
                <w:bCs/>
                <w:w w:val="90"/>
                <w:kern w:val="0"/>
                <w:sz w:val="24"/>
              </w:rPr>
            </w:pPr>
          </w:p>
        </w:tc>
      </w:tr>
      <w:bookmarkEnd w:id="362"/>
    </w:tbl>
    <w:p>
      <w:pPr>
        <w:overflowPunct w:val="0"/>
        <w:spacing w:line="14" w:lineRule="exact"/>
        <w:ind w:firstLine="0" w:firstLineChars="0"/>
        <w:rPr>
          <w:rFonts w:eastAsia="宋体"/>
          <w:sz w:val="28"/>
          <w:szCs w:val="28"/>
        </w:rPr>
      </w:pPr>
    </w:p>
    <w:p>
      <w:pPr>
        <w:ind w:firstLine="640"/>
      </w:pPr>
    </w:p>
    <w:sectPr>
      <w:footerReference r:id="rId34" w:type="first"/>
      <w:footerReference r:id="rId33" w:type="default"/>
      <w:pgSz w:w="16838" w:h="11906" w:orient="landscape"/>
      <w:pgMar w:top="1701" w:right="850" w:bottom="1020" w:left="1134" w:header="794" w:footer="992" w:gutter="0"/>
      <w:pgBorders>
        <w:top w:val="none" w:sz="0" w:space="0"/>
        <w:left w:val="none" w:sz="0" w:space="0"/>
        <w:bottom w:val="none" w:sz="0" w:space="0"/>
        <w:right w:val="none" w:sz="0" w:space="0"/>
      </w:pgBorders>
      <w:pgNumType w:fmt="numberInDash"/>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sdt>
      <w:sdtPr>
        <w:rPr>
          <w:rFonts w:ascii="Times New Roman" w:hAnsi="Times New Roman"/>
        </w:rPr>
        <w:id w:val="-1696223664"/>
      </w:sdtPr>
      <w:sdtEndPr>
        <w:rPr>
          <w:rFonts w:ascii="Times New Roman" w:hAnsi="Times New Roman"/>
        </w:rPr>
      </w:sdtEndP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- 26 -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- 26 -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- 25 -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- 25 -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- 40 -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- 40 -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- 39 -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- 39 -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- 49 -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- 49 -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- 48 -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- 48 -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- 56 -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- 56 -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- 55 -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- 55 -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F2Jw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F2Jw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- 66 -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- 66 -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- 65 -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- 65 -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534"/>
        <w:tab w:val="center" w:pos="4425"/>
      </w:tabs>
      <w:jc w:val="left"/>
      <w:rPr>
        <w:rFonts w:ascii="Times New Roman" w:hAnsi="Times New Roman"/>
        <w:sz w:val="21"/>
        <w:szCs w:val="15"/>
      </w:rPr>
    </w:pPr>
    <w:r>
      <w:rPr>
        <w:sz w:val="21"/>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ZJQVAgAAFQ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2+vsl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HoZJQ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r>
      <w:rPr>
        <w:rFonts w:hint="eastAsia"/>
        <w:sz w:val="21"/>
        <w:lang w:eastAsia="zh-CN"/>
      </w:rPr>
      <w:tab/>
    </w:r>
    <w:r>
      <w:rPr>
        <w:rFonts w:hint="eastAsia" w:ascii="Times New Roman" w:hAnsi="Times New Roman"/>
        <w:sz w:val="21"/>
        <w:szCs w:val="15"/>
        <w:lang w:eastAsia="zh-CN"/>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仿宋"/>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仿宋"/>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- 77 -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I/4k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r99ip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pI/4k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- 77 -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仿宋"/>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- 76 -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gaGY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jgaGY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仿宋"/>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- 76 -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rFonts w:asciiTheme="minorHAnsi" w:hAnsiTheme="minorHAnsi" w:eastAsiaTheme="minorEastAsia"/>
                              <w:sz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spacing w:line="240" w:lineRule="auto"/>
                      <w:ind w:firstLine="0" w:firstLineChars="0"/>
                      <w:rPr>
                        <w:rFonts w:asciiTheme="minorHAnsi" w:hAnsiTheme="minorHAnsi" w:eastAsiaTheme="minorEastAsia"/>
                        <w:sz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rPr>
    </w:pPr>
    <w:r>
      <w:rPr>
        <w:sz w:val="24"/>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75pt;height:144pt;width:144pt;mso-position-horizontal:outside;mso-position-horizontal-relative:margin;mso-wrap-style:none;z-index:251663360;mso-width-relative:page;mso-height-relative:page;" filled="f" stroked="f" coordsize="21600,21600" o:gfxdata="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ayECjVAAAABwEAAA8AAAAAAAAA&#10;AQAgAAAAIgAAAGRycy9kb3ducmV2LnhtbFBLAQIUABQAAAAIAIdO4kDbNg1rFAIAABUEAAAOAAAA&#10;AAAAAAEAIAAAACQBAABkcnMvZTJvRG9jLnhtbFBLBQYAAAAABgAGAFkBAACqBQ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- 7 -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15"/>
      </w:rPr>
    </w:pPr>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- 18 -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- 18 -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24"/>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- 17 -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- 17 -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eastAsia="宋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CC3AA5"/>
    <w:multiLevelType w:val="singleLevel"/>
    <w:tmpl w:val="C9CC3AA5"/>
    <w:lvl w:ilvl="0" w:tentative="0">
      <w:start w:val="1"/>
      <w:numFmt w:val="chineseCounting"/>
      <w:suff w:val="nothing"/>
      <w:lvlText w:val="（%1）"/>
      <w:lvlJc w:val="left"/>
      <w:rPr>
        <w:rFonts w:hint="eastAsia"/>
      </w:rPr>
    </w:lvl>
  </w:abstractNum>
  <w:abstractNum w:abstractNumId="1">
    <w:nsid w:val="4DC18FCB"/>
    <w:multiLevelType w:val="singleLevel"/>
    <w:tmpl w:val="4DC18FCB"/>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467DC"/>
    <w:rsid w:val="00077279"/>
    <w:rsid w:val="000E4565"/>
    <w:rsid w:val="005317E6"/>
    <w:rsid w:val="00560893"/>
    <w:rsid w:val="005B6DD8"/>
    <w:rsid w:val="008B4017"/>
    <w:rsid w:val="009665A4"/>
    <w:rsid w:val="00C80DA4"/>
    <w:rsid w:val="00CB0B96"/>
    <w:rsid w:val="00DE24F7"/>
    <w:rsid w:val="00E745CA"/>
    <w:rsid w:val="013B4ECC"/>
    <w:rsid w:val="013E07C4"/>
    <w:rsid w:val="0164609A"/>
    <w:rsid w:val="018A277C"/>
    <w:rsid w:val="0193236E"/>
    <w:rsid w:val="01BB2E56"/>
    <w:rsid w:val="0281282A"/>
    <w:rsid w:val="028956F5"/>
    <w:rsid w:val="02A36553"/>
    <w:rsid w:val="02C0448E"/>
    <w:rsid w:val="030B0DBA"/>
    <w:rsid w:val="03185DB9"/>
    <w:rsid w:val="032423F5"/>
    <w:rsid w:val="032B7F8D"/>
    <w:rsid w:val="033A26C4"/>
    <w:rsid w:val="03542075"/>
    <w:rsid w:val="03691709"/>
    <w:rsid w:val="03C36BA6"/>
    <w:rsid w:val="03D76567"/>
    <w:rsid w:val="03F63194"/>
    <w:rsid w:val="04053A2F"/>
    <w:rsid w:val="043A46EA"/>
    <w:rsid w:val="045965E0"/>
    <w:rsid w:val="05230C5B"/>
    <w:rsid w:val="052B602C"/>
    <w:rsid w:val="053F230C"/>
    <w:rsid w:val="05B63751"/>
    <w:rsid w:val="05C31CCC"/>
    <w:rsid w:val="05DF7463"/>
    <w:rsid w:val="05EC1E0D"/>
    <w:rsid w:val="061A28F0"/>
    <w:rsid w:val="062601A1"/>
    <w:rsid w:val="062E1FD8"/>
    <w:rsid w:val="0655054C"/>
    <w:rsid w:val="065F7436"/>
    <w:rsid w:val="06E56A48"/>
    <w:rsid w:val="07306C19"/>
    <w:rsid w:val="073B32A6"/>
    <w:rsid w:val="075065A5"/>
    <w:rsid w:val="075A025E"/>
    <w:rsid w:val="078A17C6"/>
    <w:rsid w:val="079379B4"/>
    <w:rsid w:val="07971FC2"/>
    <w:rsid w:val="07BD41F5"/>
    <w:rsid w:val="07D768CB"/>
    <w:rsid w:val="07DE66CF"/>
    <w:rsid w:val="07F93D81"/>
    <w:rsid w:val="081425C7"/>
    <w:rsid w:val="08190B4E"/>
    <w:rsid w:val="08CE560A"/>
    <w:rsid w:val="09AE5F17"/>
    <w:rsid w:val="09B016FC"/>
    <w:rsid w:val="0A3C00C4"/>
    <w:rsid w:val="0AB344FD"/>
    <w:rsid w:val="0ACE2971"/>
    <w:rsid w:val="0AE84DDB"/>
    <w:rsid w:val="0B3809FB"/>
    <w:rsid w:val="0B6A21C3"/>
    <w:rsid w:val="0B9C189C"/>
    <w:rsid w:val="0BB665DB"/>
    <w:rsid w:val="0BF565A5"/>
    <w:rsid w:val="0C0E56E6"/>
    <w:rsid w:val="0C2D314D"/>
    <w:rsid w:val="0C4B596E"/>
    <w:rsid w:val="0C6F7852"/>
    <w:rsid w:val="0C8F41AC"/>
    <w:rsid w:val="0CBF3FAF"/>
    <w:rsid w:val="0CEB6AEF"/>
    <w:rsid w:val="0D41097F"/>
    <w:rsid w:val="0DB11544"/>
    <w:rsid w:val="0DED4141"/>
    <w:rsid w:val="0E4A7F2A"/>
    <w:rsid w:val="0E5F3B57"/>
    <w:rsid w:val="0EFD3306"/>
    <w:rsid w:val="0F830BFB"/>
    <w:rsid w:val="0F905B9A"/>
    <w:rsid w:val="0FC34C5E"/>
    <w:rsid w:val="0FDD47AA"/>
    <w:rsid w:val="0FFB0761"/>
    <w:rsid w:val="100119AA"/>
    <w:rsid w:val="101B18C5"/>
    <w:rsid w:val="101C6976"/>
    <w:rsid w:val="102310F8"/>
    <w:rsid w:val="108B3A54"/>
    <w:rsid w:val="10A217F7"/>
    <w:rsid w:val="10AB4476"/>
    <w:rsid w:val="10C761F4"/>
    <w:rsid w:val="116F4B17"/>
    <w:rsid w:val="12006C2A"/>
    <w:rsid w:val="122272CD"/>
    <w:rsid w:val="12505B88"/>
    <w:rsid w:val="127B6574"/>
    <w:rsid w:val="128C5F14"/>
    <w:rsid w:val="12D40956"/>
    <w:rsid w:val="131D5729"/>
    <w:rsid w:val="13744D31"/>
    <w:rsid w:val="14043157"/>
    <w:rsid w:val="147313CE"/>
    <w:rsid w:val="14B17706"/>
    <w:rsid w:val="14D3625B"/>
    <w:rsid w:val="1525504D"/>
    <w:rsid w:val="157424E4"/>
    <w:rsid w:val="158339C2"/>
    <w:rsid w:val="15B338F4"/>
    <w:rsid w:val="15CF0CE2"/>
    <w:rsid w:val="15F306FC"/>
    <w:rsid w:val="16462528"/>
    <w:rsid w:val="166317E9"/>
    <w:rsid w:val="166C0B8A"/>
    <w:rsid w:val="16A527DE"/>
    <w:rsid w:val="16D36F75"/>
    <w:rsid w:val="16E86299"/>
    <w:rsid w:val="16F86C6B"/>
    <w:rsid w:val="170450F8"/>
    <w:rsid w:val="175A7D87"/>
    <w:rsid w:val="178B2D9B"/>
    <w:rsid w:val="17A765F9"/>
    <w:rsid w:val="17B35A82"/>
    <w:rsid w:val="17F65C38"/>
    <w:rsid w:val="1836353E"/>
    <w:rsid w:val="183B747F"/>
    <w:rsid w:val="185D12A2"/>
    <w:rsid w:val="18DE57D8"/>
    <w:rsid w:val="19556E87"/>
    <w:rsid w:val="19FF6385"/>
    <w:rsid w:val="1A0C61E7"/>
    <w:rsid w:val="1AE64C89"/>
    <w:rsid w:val="1AF979A0"/>
    <w:rsid w:val="1B0342CC"/>
    <w:rsid w:val="1B183581"/>
    <w:rsid w:val="1B3C0FA0"/>
    <w:rsid w:val="1B7D6F7E"/>
    <w:rsid w:val="1C20575A"/>
    <w:rsid w:val="1D1737DD"/>
    <w:rsid w:val="1DC275EE"/>
    <w:rsid w:val="1DC83FCE"/>
    <w:rsid w:val="1DFD1AA8"/>
    <w:rsid w:val="1EFA3E49"/>
    <w:rsid w:val="1F0A6B05"/>
    <w:rsid w:val="1F201885"/>
    <w:rsid w:val="1F2D7DD9"/>
    <w:rsid w:val="1F5A111C"/>
    <w:rsid w:val="1F603B58"/>
    <w:rsid w:val="1F935191"/>
    <w:rsid w:val="200E7E3C"/>
    <w:rsid w:val="2011438B"/>
    <w:rsid w:val="204D40E3"/>
    <w:rsid w:val="211D2DCA"/>
    <w:rsid w:val="211D59BC"/>
    <w:rsid w:val="21615E06"/>
    <w:rsid w:val="2178266B"/>
    <w:rsid w:val="220B27F8"/>
    <w:rsid w:val="22D2089B"/>
    <w:rsid w:val="22F77D84"/>
    <w:rsid w:val="23496377"/>
    <w:rsid w:val="236A531A"/>
    <w:rsid w:val="23D12E8D"/>
    <w:rsid w:val="23D75306"/>
    <w:rsid w:val="23FA13B9"/>
    <w:rsid w:val="24123A50"/>
    <w:rsid w:val="243B3E42"/>
    <w:rsid w:val="24AB5FD9"/>
    <w:rsid w:val="24CF5C7E"/>
    <w:rsid w:val="24D80FBC"/>
    <w:rsid w:val="24E16D02"/>
    <w:rsid w:val="25115B56"/>
    <w:rsid w:val="25206FFD"/>
    <w:rsid w:val="25355437"/>
    <w:rsid w:val="25553DD1"/>
    <w:rsid w:val="258E5162"/>
    <w:rsid w:val="25952D3B"/>
    <w:rsid w:val="25E10AA6"/>
    <w:rsid w:val="26462342"/>
    <w:rsid w:val="264F4674"/>
    <w:rsid w:val="26770C20"/>
    <w:rsid w:val="267D2E86"/>
    <w:rsid w:val="268C5742"/>
    <w:rsid w:val="26F9184F"/>
    <w:rsid w:val="27270CFF"/>
    <w:rsid w:val="272C6DE6"/>
    <w:rsid w:val="27456DF3"/>
    <w:rsid w:val="279B0B5F"/>
    <w:rsid w:val="27B84C97"/>
    <w:rsid w:val="27CF5F35"/>
    <w:rsid w:val="280C6001"/>
    <w:rsid w:val="280E4217"/>
    <w:rsid w:val="28750E43"/>
    <w:rsid w:val="28AC4ECA"/>
    <w:rsid w:val="28B94B0F"/>
    <w:rsid w:val="28F20456"/>
    <w:rsid w:val="29A67BC4"/>
    <w:rsid w:val="29F87ED3"/>
    <w:rsid w:val="29FA7299"/>
    <w:rsid w:val="2A1221CF"/>
    <w:rsid w:val="2A5A5C7F"/>
    <w:rsid w:val="2A841DAD"/>
    <w:rsid w:val="2B325AE6"/>
    <w:rsid w:val="2B75000B"/>
    <w:rsid w:val="2B85799E"/>
    <w:rsid w:val="2B9D69E0"/>
    <w:rsid w:val="2B9E4DCF"/>
    <w:rsid w:val="2BE01666"/>
    <w:rsid w:val="2C160483"/>
    <w:rsid w:val="2C8C1AB6"/>
    <w:rsid w:val="2CA3240C"/>
    <w:rsid w:val="2D1A56B9"/>
    <w:rsid w:val="2D624D51"/>
    <w:rsid w:val="2D6D052A"/>
    <w:rsid w:val="2D7E0113"/>
    <w:rsid w:val="2DCE076A"/>
    <w:rsid w:val="2DDC1E6A"/>
    <w:rsid w:val="2DFF545E"/>
    <w:rsid w:val="2E124CC7"/>
    <w:rsid w:val="2E821554"/>
    <w:rsid w:val="2EA01E06"/>
    <w:rsid w:val="2EA33EC7"/>
    <w:rsid w:val="2F1D74EF"/>
    <w:rsid w:val="2F40373F"/>
    <w:rsid w:val="2F490892"/>
    <w:rsid w:val="2F6A2D74"/>
    <w:rsid w:val="305E5DF4"/>
    <w:rsid w:val="30945557"/>
    <w:rsid w:val="30B24B5F"/>
    <w:rsid w:val="30C00B79"/>
    <w:rsid w:val="30D462A5"/>
    <w:rsid w:val="30ED4B25"/>
    <w:rsid w:val="30F537B2"/>
    <w:rsid w:val="316047EE"/>
    <w:rsid w:val="32513E15"/>
    <w:rsid w:val="32876BD4"/>
    <w:rsid w:val="32892EB1"/>
    <w:rsid w:val="32C4599E"/>
    <w:rsid w:val="334066F9"/>
    <w:rsid w:val="337D3FD2"/>
    <w:rsid w:val="3393422B"/>
    <w:rsid w:val="33AD3FEE"/>
    <w:rsid w:val="342F5CDB"/>
    <w:rsid w:val="34736174"/>
    <w:rsid w:val="34A61EA9"/>
    <w:rsid w:val="34A806C7"/>
    <w:rsid w:val="34B6196A"/>
    <w:rsid w:val="35061BEE"/>
    <w:rsid w:val="350811EE"/>
    <w:rsid w:val="3512395C"/>
    <w:rsid w:val="352B567F"/>
    <w:rsid w:val="3540445C"/>
    <w:rsid w:val="35705049"/>
    <w:rsid w:val="360727EF"/>
    <w:rsid w:val="3609725C"/>
    <w:rsid w:val="361A14DD"/>
    <w:rsid w:val="366C6D72"/>
    <w:rsid w:val="368718F7"/>
    <w:rsid w:val="36CC4952"/>
    <w:rsid w:val="37DC7428"/>
    <w:rsid w:val="38141E1A"/>
    <w:rsid w:val="38427549"/>
    <w:rsid w:val="385771DC"/>
    <w:rsid w:val="38661B6B"/>
    <w:rsid w:val="38B51819"/>
    <w:rsid w:val="397459DE"/>
    <w:rsid w:val="39B72A5F"/>
    <w:rsid w:val="3A6A16CE"/>
    <w:rsid w:val="3AAE7FC5"/>
    <w:rsid w:val="3AD933D1"/>
    <w:rsid w:val="3AF63C41"/>
    <w:rsid w:val="3B084C95"/>
    <w:rsid w:val="3B1C722C"/>
    <w:rsid w:val="3B4729D5"/>
    <w:rsid w:val="3B997FF6"/>
    <w:rsid w:val="3BA72B81"/>
    <w:rsid w:val="3C2F4ACA"/>
    <w:rsid w:val="3C623D01"/>
    <w:rsid w:val="3C7A642B"/>
    <w:rsid w:val="3C885F2A"/>
    <w:rsid w:val="3CAE01C1"/>
    <w:rsid w:val="3CD35F1F"/>
    <w:rsid w:val="3CFA408A"/>
    <w:rsid w:val="3D5A7C36"/>
    <w:rsid w:val="3D7960A2"/>
    <w:rsid w:val="3DF024F5"/>
    <w:rsid w:val="3E34281F"/>
    <w:rsid w:val="3E6E73FF"/>
    <w:rsid w:val="3E7F3A4A"/>
    <w:rsid w:val="3E9059F7"/>
    <w:rsid w:val="3EB9286F"/>
    <w:rsid w:val="3F3F4681"/>
    <w:rsid w:val="3F7E29EA"/>
    <w:rsid w:val="3F9E5AC2"/>
    <w:rsid w:val="3FC800D1"/>
    <w:rsid w:val="40032E29"/>
    <w:rsid w:val="400A1226"/>
    <w:rsid w:val="40740771"/>
    <w:rsid w:val="40C21641"/>
    <w:rsid w:val="411B2448"/>
    <w:rsid w:val="41605AED"/>
    <w:rsid w:val="41B77022"/>
    <w:rsid w:val="41DA4816"/>
    <w:rsid w:val="428E2FE7"/>
    <w:rsid w:val="43622751"/>
    <w:rsid w:val="43A82855"/>
    <w:rsid w:val="43D74C93"/>
    <w:rsid w:val="44015C03"/>
    <w:rsid w:val="440C6DED"/>
    <w:rsid w:val="442D4671"/>
    <w:rsid w:val="44663C79"/>
    <w:rsid w:val="44701DB3"/>
    <w:rsid w:val="4490151C"/>
    <w:rsid w:val="44BC650D"/>
    <w:rsid w:val="44DA197A"/>
    <w:rsid w:val="44E96CA0"/>
    <w:rsid w:val="454C0078"/>
    <w:rsid w:val="45D866C1"/>
    <w:rsid w:val="45E07B93"/>
    <w:rsid w:val="46927081"/>
    <w:rsid w:val="46BE5A69"/>
    <w:rsid w:val="46D21DF5"/>
    <w:rsid w:val="470E15E7"/>
    <w:rsid w:val="47734066"/>
    <w:rsid w:val="47A076CF"/>
    <w:rsid w:val="47A84E6A"/>
    <w:rsid w:val="47BD5817"/>
    <w:rsid w:val="48166435"/>
    <w:rsid w:val="481A2B2B"/>
    <w:rsid w:val="48206B58"/>
    <w:rsid w:val="487144EF"/>
    <w:rsid w:val="48A5694A"/>
    <w:rsid w:val="48A83FD4"/>
    <w:rsid w:val="48D96567"/>
    <w:rsid w:val="48E23168"/>
    <w:rsid w:val="49224E8F"/>
    <w:rsid w:val="49334ADC"/>
    <w:rsid w:val="495F24F2"/>
    <w:rsid w:val="49C558EE"/>
    <w:rsid w:val="4A60554A"/>
    <w:rsid w:val="4B033961"/>
    <w:rsid w:val="4B41776D"/>
    <w:rsid w:val="4B4932F9"/>
    <w:rsid w:val="4B7A5D69"/>
    <w:rsid w:val="4B94125F"/>
    <w:rsid w:val="4BCE4465"/>
    <w:rsid w:val="4BF82F65"/>
    <w:rsid w:val="4C0B5E1B"/>
    <w:rsid w:val="4C57598D"/>
    <w:rsid w:val="4C664E47"/>
    <w:rsid w:val="4C7467DC"/>
    <w:rsid w:val="4CA7432A"/>
    <w:rsid w:val="4CD3031C"/>
    <w:rsid w:val="4CEA7C2E"/>
    <w:rsid w:val="4D4668BB"/>
    <w:rsid w:val="4DB2308C"/>
    <w:rsid w:val="4DC01D6D"/>
    <w:rsid w:val="4DE75BFE"/>
    <w:rsid w:val="4E1D040B"/>
    <w:rsid w:val="4EC772CB"/>
    <w:rsid w:val="4F1100BD"/>
    <w:rsid w:val="4F2C2CBB"/>
    <w:rsid w:val="4F77184F"/>
    <w:rsid w:val="50052C63"/>
    <w:rsid w:val="501A59B2"/>
    <w:rsid w:val="5032565E"/>
    <w:rsid w:val="505B6325"/>
    <w:rsid w:val="50814B20"/>
    <w:rsid w:val="50FC74FB"/>
    <w:rsid w:val="51142088"/>
    <w:rsid w:val="512F301A"/>
    <w:rsid w:val="51337CA3"/>
    <w:rsid w:val="519E7604"/>
    <w:rsid w:val="51A05A4B"/>
    <w:rsid w:val="521F765C"/>
    <w:rsid w:val="52521EBE"/>
    <w:rsid w:val="526D3956"/>
    <w:rsid w:val="529947CB"/>
    <w:rsid w:val="52DD3637"/>
    <w:rsid w:val="535A33AE"/>
    <w:rsid w:val="53CB7E4E"/>
    <w:rsid w:val="53FA10E8"/>
    <w:rsid w:val="54B55C68"/>
    <w:rsid w:val="54DA789F"/>
    <w:rsid w:val="55175CA3"/>
    <w:rsid w:val="552A5151"/>
    <w:rsid w:val="553936F1"/>
    <w:rsid w:val="553C22AE"/>
    <w:rsid w:val="55443E52"/>
    <w:rsid w:val="554E41B0"/>
    <w:rsid w:val="556A52D2"/>
    <w:rsid w:val="5575017C"/>
    <w:rsid w:val="55BE4280"/>
    <w:rsid w:val="55CB644C"/>
    <w:rsid w:val="55FE2022"/>
    <w:rsid w:val="56682256"/>
    <w:rsid w:val="56C80166"/>
    <w:rsid w:val="5712786F"/>
    <w:rsid w:val="5739550C"/>
    <w:rsid w:val="57763B6E"/>
    <w:rsid w:val="57C641F3"/>
    <w:rsid w:val="57F66987"/>
    <w:rsid w:val="583C4201"/>
    <w:rsid w:val="58721330"/>
    <w:rsid w:val="58AA66C2"/>
    <w:rsid w:val="5917182F"/>
    <w:rsid w:val="598D7A8B"/>
    <w:rsid w:val="599F7438"/>
    <w:rsid w:val="59BF739E"/>
    <w:rsid w:val="5A2A345E"/>
    <w:rsid w:val="5A56570E"/>
    <w:rsid w:val="5AD31BE2"/>
    <w:rsid w:val="5AE96D96"/>
    <w:rsid w:val="5B0048B7"/>
    <w:rsid w:val="5B101974"/>
    <w:rsid w:val="5B5A453D"/>
    <w:rsid w:val="5B6C4EA4"/>
    <w:rsid w:val="5C0C09CD"/>
    <w:rsid w:val="5C2E7DAA"/>
    <w:rsid w:val="5CAA7989"/>
    <w:rsid w:val="5CCA7234"/>
    <w:rsid w:val="5CF73F42"/>
    <w:rsid w:val="5D0133CD"/>
    <w:rsid w:val="5D261F76"/>
    <w:rsid w:val="5D3C077C"/>
    <w:rsid w:val="5D4A26DF"/>
    <w:rsid w:val="5D7875B1"/>
    <w:rsid w:val="5DC77342"/>
    <w:rsid w:val="5E13365B"/>
    <w:rsid w:val="5E1B3D5C"/>
    <w:rsid w:val="5E587C29"/>
    <w:rsid w:val="5F1E7381"/>
    <w:rsid w:val="5FE459D7"/>
    <w:rsid w:val="600C215F"/>
    <w:rsid w:val="608508AD"/>
    <w:rsid w:val="616349F9"/>
    <w:rsid w:val="6193653D"/>
    <w:rsid w:val="61D43FFA"/>
    <w:rsid w:val="62421358"/>
    <w:rsid w:val="629253D6"/>
    <w:rsid w:val="62C0797A"/>
    <w:rsid w:val="62F91CDD"/>
    <w:rsid w:val="63272305"/>
    <w:rsid w:val="63370CFA"/>
    <w:rsid w:val="63492B42"/>
    <w:rsid w:val="636A4168"/>
    <w:rsid w:val="639A3F18"/>
    <w:rsid w:val="63DF381A"/>
    <w:rsid w:val="63F0741B"/>
    <w:rsid w:val="6420720D"/>
    <w:rsid w:val="648B091A"/>
    <w:rsid w:val="64B472D0"/>
    <w:rsid w:val="64BA3DFC"/>
    <w:rsid w:val="65092C52"/>
    <w:rsid w:val="652255B7"/>
    <w:rsid w:val="65603012"/>
    <w:rsid w:val="657357BE"/>
    <w:rsid w:val="65CC01E5"/>
    <w:rsid w:val="65E41FA6"/>
    <w:rsid w:val="665D2783"/>
    <w:rsid w:val="6682323D"/>
    <w:rsid w:val="66A618F4"/>
    <w:rsid w:val="66AF7F03"/>
    <w:rsid w:val="66E005EB"/>
    <w:rsid w:val="670536C9"/>
    <w:rsid w:val="67137F80"/>
    <w:rsid w:val="673D6E5E"/>
    <w:rsid w:val="679229AD"/>
    <w:rsid w:val="68410955"/>
    <w:rsid w:val="686457A3"/>
    <w:rsid w:val="688709BA"/>
    <w:rsid w:val="69226A77"/>
    <w:rsid w:val="69483FE9"/>
    <w:rsid w:val="69B133C6"/>
    <w:rsid w:val="6A047E8C"/>
    <w:rsid w:val="6A4650EF"/>
    <w:rsid w:val="6AB50215"/>
    <w:rsid w:val="6AD16C5A"/>
    <w:rsid w:val="6ADB15C1"/>
    <w:rsid w:val="6B264361"/>
    <w:rsid w:val="6BA95C84"/>
    <w:rsid w:val="6BE97170"/>
    <w:rsid w:val="6C0B436C"/>
    <w:rsid w:val="6C1128A4"/>
    <w:rsid w:val="6C286A9C"/>
    <w:rsid w:val="6CAA62C3"/>
    <w:rsid w:val="6D205CC1"/>
    <w:rsid w:val="6D415B5B"/>
    <w:rsid w:val="6D60585B"/>
    <w:rsid w:val="6D70065A"/>
    <w:rsid w:val="6D774616"/>
    <w:rsid w:val="6EB657AB"/>
    <w:rsid w:val="6F1120D4"/>
    <w:rsid w:val="6F731C19"/>
    <w:rsid w:val="6FA4210E"/>
    <w:rsid w:val="6FC420C0"/>
    <w:rsid w:val="6FCC15D3"/>
    <w:rsid w:val="700E684F"/>
    <w:rsid w:val="703F52A1"/>
    <w:rsid w:val="7044122D"/>
    <w:rsid w:val="707677C0"/>
    <w:rsid w:val="70E41364"/>
    <w:rsid w:val="716E43CA"/>
    <w:rsid w:val="71AB3176"/>
    <w:rsid w:val="71BC104C"/>
    <w:rsid w:val="72D97E08"/>
    <w:rsid w:val="73652202"/>
    <w:rsid w:val="73B71017"/>
    <w:rsid w:val="73CC26C7"/>
    <w:rsid w:val="73DA4CF2"/>
    <w:rsid w:val="73F17284"/>
    <w:rsid w:val="742A04C8"/>
    <w:rsid w:val="74F54842"/>
    <w:rsid w:val="752F0D5A"/>
    <w:rsid w:val="75564D42"/>
    <w:rsid w:val="75EE3CE1"/>
    <w:rsid w:val="76222311"/>
    <w:rsid w:val="7656280F"/>
    <w:rsid w:val="768A406C"/>
    <w:rsid w:val="771E78E5"/>
    <w:rsid w:val="7753621E"/>
    <w:rsid w:val="77656F3D"/>
    <w:rsid w:val="777370E4"/>
    <w:rsid w:val="77A52B1E"/>
    <w:rsid w:val="77F9118A"/>
    <w:rsid w:val="782E5061"/>
    <w:rsid w:val="783A67B7"/>
    <w:rsid w:val="78874D6A"/>
    <w:rsid w:val="78904970"/>
    <w:rsid w:val="79155A48"/>
    <w:rsid w:val="793300BA"/>
    <w:rsid w:val="796F1210"/>
    <w:rsid w:val="79B12CB5"/>
    <w:rsid w:val="7A06789F"/>
    <w:rsid w:val="7A39453F"/>
    <w:rsid w:val="7ACD6C26"/>
    <w:rsid w:val="7B2131E4"/>
    <w:rsid w:val="7B2310B9"/>
    <w:rsid w:val="7B5F415D"/>
    <w:rsid w:val="7B9F0F4F"/>
    <w:rsid w:val="7BA0054C"/>
    <w:rsid w:val="7BC216D4"/>
    <w:rsid w:val="7BDB1465"/>
    <w:rsid w:val="7C6B7692"/>
    <w:rsid w:val="7C922443"/>
    <w:rsid w:val="7CA63BD8"/>
    <w:rsid w:val="7D806C78"/>
    <w:rsid w:val="7D9A71EE"/>
    <w:rsid w:val="7DC358E3"/>
    <w:rsid w:val="7DF563FE"/>
    <w:rsid w:val="7E8A2496"/>
    <w:rsid w:val="7EF14B2A"/>
    <w:rsid w:val="7F011F82"/>
    <w:rsid w:val="7F1A6B31"/>
    <w:rsid w:val="7F765AD1"/>
    <w:rsid w:val="7FB1091F"/>
    <w:rsid w:val="7FB17148"/>
    <w:rsid w:val="7FE04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 w:cstheme="minorBidi"/>
      <w:kern w:val="2"/>
      <w:sz w:val="32"/>
      <w:szCs w:val="22"/>
      <w:lang w:val="en-US" w:eastAsia="zh-CN" w:bidi="ar-SA"/>
    </w:rPr>
  </w:style>
  <w:style w:type="paragraph" w:styleId="3">
    <w:name w:val="heading 1"/>
    <w:basedOn w:val="1"/>
    <w:next w:val="1"/>
    <w:qFormat/>
    <w:uiPriority w:val="0"/>
    <w:pPr>
      <w:keepNext/>
      <w:keepLines/>
      <w:spacing w:before="50" w:beforeLines="50" w:after="50" w:afterLines="50"/>
      <w:ind w:firstLine="0" w:firstLineChars="0"/>
      <w:jc w:val="center"/>
      <w:outlineLvl w:val="0"/>
    </w:pPr>
    <w:rPr>
      <w:rFonts w:eastAsia="黑体" w:asciiTheme="minorHAnsi" w:hAnsiTheme="minorHAnsi"/>
      <w:b/>
      <w:kern w:val="44"/>
      <w:sz w:val="40"/>
      <w:szCs w:val="24"/>
    </w:rPr>
  </w:style>
  <w:style w:type="paragraph" w:styleId="4">
    <w:name w:val="heading 2"/>
    <w:basedOn w:val="1"/>
    <w:next w:val="1"/>
    <w:semiHidden/>
    <w:unhideWhenUsed/>
    <w:qFormat/>
    <w:uiPriority w:val="0"/>
    <w:pPr>
      <w:keepNext/>
      <w:keepLines/>
      <w:spacing w:before="120" w:after="120"/>
      <w:ind w:firstLine="0" w:firstLineChars="0"/>
      <w:jc w:val="center"/>
      <w:outlineLvl w:val="1"/>
    </w:pPr>
    <w:rPr>
      <w:rFonts w:ascii="Arial" w:hAnsi="Arial" w:eastAsia="楷体"/>
      <w:b/>
    </w:rPr>
  </w:style>
  <w:style w:type="paragraph" w:styleId="5">
    <w:name w:val="heading 3"/>
    <w:basedOn w:val="1"/>
    <w:next w:val="1"/>
    <w:semiHidden/>
    <w:unhideWhenUsed/>
    <w:qFormat/>
    <w:uiPriority w:val="0"/>
    <w:pPr>
      <w:keepNext/>
      <w:keepLines/>
      <w:outlineLvl w:val="2"/>
    </w:pPr>
    <w:rPr>
      <w:b/>
    </w:rPr>
  </w:style>
  <w:style w:type="character" w:default="1" w:styleId="18">
    <w:name w:val="Default Paragraph Font"/>
    <w:link w:val="19"/>
    <w:semiHidden/>
    <w:unhideWhenUsed/>
    <w:qFormat/>
    <w:uiPriority w:val="1"/>
    <w:rPr>
      <w:rFonts w:eastAsia="宋体"/>
      <w:kern w:val="2"/>
      <w:sz w:val="21"/>
      <w:szCs w:val="24"/>
      <w:lang w:val="en-US" w:eastAsia="zh-CN" w:bidi="ar-SA"/>
    </w:rPr>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3"/>
    <w:basedOn w:val="1"/>
    <w:qFormat/>
    <w:uiPriority w:val="0"/>
    <w:pPr>
      <w:spacing w:after="120"/>
    </w:pPr>
    <w:rPr>
      <w:sz w:val="16"/>
    </w:rPr>
  </w:style>
  <w:style w:type="paragraph" w:styleId="6">
    <w:name w:val="annotation text"/>
    <w:qFormat/>
    <w:uiPriority w:val="0"/>
    <w:pPr>
      <w:widowControl w:val="0"/>
    </w:pPr>
    <w:rPr>
      <w:rFonts w:asciiTheme="minorHAnsi" w:hAnsiTheme="minorHAnsi" w:eastAsiaTheme="minorEastAsia" w:cstheme="minorBidi"/>
      <w:kern w:val="2"/>
      <w:sz w:val="21"/>
      <w:szCs w:val="22"/>
      <w:lang w:val="en-US" w:eastAsia="zh-CN" w:bidi="ar-SA"/>
    </w:rPr>
  </w:style>
  <w:style w:type="paragraph" w:styleId="7">
    <w:name w:val="Body Text"/>
    <w:basedOn w:val="1"/>
    <w:qFormat/>
    <w:uiPriority w:val="0"/>
    <w:pPr>
      <w:spacing w:after="120"/>
    </w:pPr>
  </w:style>
  <w:style w:type="paragraph" w:styleId="8">
    <w:name w:val="toc 5"/>
    <w:next w:val="1"/>
    <w:qFormat/>
    <w:uiPriority w:val="39"/>
    <w:pPr>
      <w:widowControl w:val="0"/>
      <w:ind w:left="840"/>
    </w:pPr>
    <w:rPr>
      <w:rFonts w:asciiTheme="minorHAnsi" w:hAnsiTheme="minorHAnsi" w:eastAsiaTheme="minorEastAsia" w:cstheme="minorHAnsi"/>
      <w:kern w:val="2"/>
      <w:sz w:val="18"/>
      <w:szCs w:val="18"/>
      <w:lang w:val="en-US" w:eastAsia="zh-CN" w:bidi="ar-SA"/>
    </w:rPr>
  </w:style>
  <w:style w:type="paragraph" w:styleId="9">
    <w:name w:val="toc 8"/>
    <w:next w:val="1"/>
    <w:qFormat/>
    <w:uiPriority w:val="39"/>
    <w:pPr>
      <w:widowControl w:val="0"/>
      <w:ind w:left="1470"/>
    </w:pPr>
    <w:rPr>
      <w:rFonts w:asciiTheme="minorHAnsi" w:hAnsiTheme="minorHAnsi" w:eastAsiaTheme="minorEastAsia" w:cstheme="minorHAnsi"/>
      <w:kern w:val="2"/>
      <w:sz w:val="18"/>
      <w:szCs w:val="18"/>
      <w:lang w:val="en-US" w:eastAsia="zh-CN" w:bidi="ar-SA"/>
    </w:rPr>
  </w:style>
  <w:style w:type="paragraph" w:styleId="10">
    <w:name w:val="Body Text Indent 2"/>
    <w:qFormat/>
    <w:uiPriority w:val="0"/>
    <w:pPr>
      <w:widowControl w:val="0"/>
      <w:spacing w:after="120" w:line="480" w:lineRule="auto"/>
      <w:ind w:left="420" w:leftChars="200"/>
      <w:jc w:val="both"/>
    </w:pPr>
    <w:rPr>
      <w:rFonts w:asciiTheme="minorHAnsi" w:hAnsiTheme="minorHAnsi" w:eastAsiaTheme="minorEastAsia" w:cstheme="minorBidi"/>
      <w:kern w:val="2"/>
      <w:sz w:val="21"/>
      <w:szCs w:val="22"/>
      <w:lang w:val="en-US" w:eastAsia="zh-CN" w:bidi="ar-SA"/>
    </w:rPr>
  </w:style>
  <w:style w:type="paragraph" w:styleId="11">
    <w:name w:val="Balloon Text"/>
    <w:basedOn w:val="1"/>
    <w:link w:val="24"/>
    <w:qFormat/>
    <w:uiPriority w:val="0"/>
    <w:pPr>
      <w:spacing w:line="240" w:lineRule="auto"/>
    </w:pPr>
    <w:rPr>
      <w:sz w:val="18"/>
      <w:szCs w:val="18"/>
    </w:rPr>
  </w:style>
  <w:style w:type="paragraph" w:styleId="12">
    <w:name w:val="footer"/>
    <w:qFormat/>
    <w:uiPriority w:val="0"/>
    <w:pPr>
      <w:widowControl w:val="0"/>
      <w:tabs>
        <w:tab w:val="center" w:pos="4153"/>
        <w:tab w:val="right" w:pos="8306"/>
      </w:tabs>
      <w:snapToGrid w:val="0"/>
    </w:pPr>
    <w:rPr>
      <w:rFonts w:asciiTheme="minorHAnsi" w:hAnsiTheme="minorHAnsi" w:eastAsiaTheme="minorEastAsia" w:cstheme="minorBidi"/>
      <w:kern w:val="2"/>
      <w:sz w:val="18"/>
      <w:szCs w:val="18"/>
      <w:lang w:val="en-US" w:eastAsia="zh-CN" w:bidi="ar-SA"/>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Normal (Web)"/>
    <w:qFormat/>
    <w:uiPriority w:val="99"/>
    <w:pPr>
      <w:widowControl w:val="0"/>
      <w:spacing w:beforeAutospacing="1" w:afterAutospacing="1"/>
    </w:pPr>
    <w:rPr>
      <w:rFonts w:cs="Times New Roman" w:asciiTheme="minorHAnsi" w:hAnsiTheme="minorHAnsi" w:eastAsiaTheme="minorEastAsia"/>
      <w:sz w:val="24"/>
      <w:szCs w:val="22"/>
      <w:lang w:val="en-US" w:eastAsia="zh-CN" w:bidi="ar-SA"/>
    </w:rPr>
  </w:style>
  <w:style w:type="paragraph" w:styleId="15">
    <w:name w:val="annotation subject"/>
    <w:next w:val="6"/>
    <w:qFormat/>
    <w:uiPriority w:val="0"/>
    <w:pPr>
      <w:widowControl w:val="0"/>
    </w:pPr>
    <w:rPr>
      <w:rFonts w:asciiTheme="minorHAnsi" w:hAnsiTheme="minorHAnsi" w:eastAsiaTheme="minorEastAsia" w:cstheme="minorBidi"/>
      <w:b/>
      <w:bCs/>
      <w:kern w:val="2"/>
      <w:sz w:val="21"/>
      <w:szCs w:val="22"/>
      <w:lang w:val="en-US" w:eastAsia="zh-CN" w:bidi="ar-SA"/>
    </w:rPr>
  </w:style>
  <w:style w:type="table" w:styleId="17">
    <w:name w:val="Table Grid"/>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9">
    <w:name w:val="Char Char Char Char Char Char Char Char Char Char Char Char Char"/>
    <w:link w:val="18"/>
    <w:qFormat/>
    <w:uiPriority w:val="0"/>
    <w:pPr>
      <w:widowControl w:val="0"/>
      <w:jc w:val="both"/>
    </w:pPr>
    <w:rPr>
      <w:rFonts w:ascii="Times New Roman" w:hAnsi="Times New Roman" w:eastAsia="宋体" w:cs="Times New Roman"/>
      <w:kern w:val="2"/>
      <w:sz w:val="21"/>
      <w:szCs w:val="24"/>
      <w:lang w:val="en-US" w:eastAsia="zh-CN" w:bidi="ar-SA"/>
    </w:rPr>
  </w:style>
  <w:style w:type="character" w:styleId="20">
    <w:name w:val="page number"/>
    <w:qFormat/>
    <w:uiPriority w:val="0"/>
  </w:style>
  <w:style w:type="character" w:styleId="21">
    <w:name w:val="Hyperlink"/>
    <w:qFormat/>
    <w:uiPriority w:val="0"/>
    <w:rPr>
      <w:color w:val="0000FF"/>
      <w:u w:val="single"/>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4">
    <w:name w:val="批注框文本 Char"/>
    <w:basedOn w:val="18"/>
    <w:link w:val="11"/>
    <w:qFormat/>
    <w:uiPriority w:val="0"/>
    <w:rPr>
      <w:rFonts w:eastAsia="仿宋"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5.png"/><Relationship Id="rId4" Type="http://schemas.openxmlformats.org/officeDocument/2006/relationships/header" Target="head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7984</Words>
  <Characters>45515</Characters>
  <Lines>379</Lines>
  <Paragraphs>106</Paragraphs>
  <TotalTime>11</TotalTime>
  <ScaleCrop>false</ScaleCrop>
  <LinksUpToDate>false</LinksUpToDate>
  <CharactersWithSpaces>53393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2020-09-23T08:36:00Z</dcterms:created>
  <dc:creator>Fairy颖</dc:creator>
  <cp:lastModifiedBy>我的老婆是大佬</cp:lastModifiedBy>
  <cp:lastPrinted>2021-09-17T03:13:00Z</cp:lastPrinted>
  <dcterms:modified xsi:type="dcterms:W3CDTF">2022-02-09T07:32:29Z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C35CC6135C5E439E99D71C54954A6EEB</vt:lpwstr>
  </property>
</Properties>
</file>