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附件2:</w:t>
      </w:r>
    </w:p>
    <w:p>
      <w:pPr>
        <w:jc w:val="center"/>
        <w:rPr>
          <w:rFonts w:hint="eastAsia" w:ascii="方正小标宋简体" w:eastAsia="方正小标宋简体"/>
          <w:sz w:val="44"/>
          <w:szCs w:val="44"/>
          <w:lang w:val="en-US" w:eastAsia="zh-CN"/>
        </w:rPr>
      </w:pPr>
      <w:r>
        <w:rPr>
          <w:rFonts w:hint="eastAsia" w:ascii="方正小标宋简体" w:eastAsia="方正小标宋简体"/>
          <w:sz w:val="44"/>
          <w:szCs w:val="44"/>
          <w:lang w:val="en-US" w:eastAsia="zh-CN"/>
        </w:rPr>
        <w:t xml:space="preserve">  </w:t>
      </w:r>
      <w:r>
        <w:rPr>
          <w:rFonts w:hint="eastAsia" w:ascii="方正小标宋简体" w:eastAsia="方正小标宋简体"/>
          <w:sz w:val="44"/>
          <w:szCs w:val="44"/>
        </w:rPr>
        <w:t>政府信息公开年度报告编制</w:t>
      </w:r>
      <w:r>
        <w:rPr>
          <w:rFonts w:hint="eastAsia" w:ascii="方正小标宋简体" w:eastAsia="方正小标宋简体"/>
          <w:sz w:val="44"/>
          <w:szCs w:val="44"/>
          <w:lang w:val="en-US" w:eastAsia="zh-CN"/>
        </w:rPr>
        <w:t>说明</w:t>
      </w:r>
    </w:p>
    <w:p/>
    <w:p>
      <w:bookmarkStart w:id="0" w:name="_GoBack"/>
      <w:bookmarkEnd w:id="0"/>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_GB2312" w:eastAsia="仿宋_GB2312"/>
          <w:sz w:val="32"/>
          <w:szCs w:val="32"/>
        </w:rPr>
      </w:pPr>
      <w:r>
        <w:rPr>
          <w:rFonts w:hint="eastAsia" w:ascii="仿宋_GB2312" w:eastAsia="仿宋_GB2312"/>
          <w:sz w:val="32"/>
          <w:szCs w:val="32"/>
        </w:rPr>
        <w:t>编制、公开政府信息公开工作年度报告，既是为了及时汇总、掌握全市各级行政机关在政府信息公开工作方面的基本情况，提高政府信息公开的能力和水平，也是为了保障公民、法人和其他组织依法获取政府信息，接受社会的监督。为进一步做好我县政府信息公开年度报告编制工作，现将有关事项说明如下：</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黑体" w:hAnsi="黑体" w:eastAsia="黑体"/>
          <w:sz w:val="32"/>
          <w:szCs w:val="32"/>
        </w:rPr>
      </w:pPr>
      <w:r>
        <w:rPr>
          <w:rFonts w:hint="eastAsia" w:ascii="黑体" w:hAnsi="黑体" w:eastAsia="黑体"/>
          <w:sz w:val="32"/>
          <w:szCs w:val="32"/>
        </w:rPr>
        <w:t>一、编制依据</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_GB2312" w:eastAsia="仿宋_GB2312"/>
          <w:sz w:val="32"/>
          <w:szCs w:val="32"/>
        </w:rPr>
      </w:pPr>
      <w:r>
        <w:rPr>
          <w:rFonts w:ascii="仿宋_GB2312" w:eastAsia="仿宋_GB2312"/>
          <w:sz w:val="32"/>
          <w:szCs w:val="32"/>
        </w:rPr>
        <w:t>1.2019</w:t>
      </w:r>
      <w:r>
        <w:rPr>
          <w:rFonts w:hint="eastAsia" w:ascii="仿宋_GB2312" w:eastAsia="仿宋_GB2312"/>
          <w:sz w:val="32"/>
          <w:szCs w:val="32"/>
        </w:rPr>
        <w:t>年新修订的《中华人民共和国政府信息公开条例》（以下简称《条例》）要求：“第四十九条</w:t>
      </w:r>
      <w:r>
        <w:rPr>
          <w:rFonts w:ascii="仿宋_GB2312" w:eastAsia="仿宋_GB2312"/>
          <w:sz w:val="32"/>
          <w:szCs w:val="32"/>
        </w:rPr>
        <w:t xml:space="preserve"> </w:t>
      </w:r>
      <w:r>
        <w:rPr>
          <w:rFonts w:hint="eastAsia" w:ascii="仿宋_GB2312" w:eastAsia="仿宋_GB2312"/>
          <w:sz w:val="32"/>
          <w:szCs w:val="32"/>
        </w:rPr>
        <w:t>县级以上人民政府部门应当在每年</w:t>
      </w:r>
      <w:r>
        <w:rPr>
          <w:rFonts w:ascii="仿宋_GB2312" w:eastAsia="仿宋_GB2312"/>
          <w:sz w:val="32"/>
          <w:szCs w:val="32"/>
        </w:rPr>
        <w:t>1</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日前向本级政府信息公开工作主管部门提交本行政机关上一年度政府信息公开工作年度报告并向社会公布。县级以上地方人民政府的政府信息公开工作主管部门应当在每年</w:t>
      </w:r>
      <w:r>
        <w:rPr>
          <w:rFonts w:ascii="仿宋_GB2312" w:eastAsia="仿宋_GB2312"/>
          <w:sz w:val="32"/>
          <w:szCs w:val="32"/>
        </w:rPr>
        <w:t>3</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日前向社会公布本级政府上一年度政府信息公开工作年度报告”。</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《国办公开办</w:t>
      </w:r>
      <w:r>
        <w:rPr>
          <w:rFonts w:hint="eastAsia" w:ascii="仿宋_GB2312" w:eastAsia="仿宋_GB2312"/>
          <w:sz w:val="32"/>
          <w:szCs w:val="32"/>
          <w:lang w:val="en-US" w:eastAsia="zh-CN"/>
        </w:rPr>
        <w:t>关于印发</w:t>
      </w:r>
      <w:r>
        <w:rPr>
          <w:rFonts w:hint="eastAsia" w:ascii="微软雅黑" w:hAnsi="微软雅黑" w:eastAsia="微软雅黑" w:cs="微软雅黑"/>
          <w:i w:val="0"/>
          <w:iCs w:val="0"/>
          <w:caps w:val="0"/>
          <w:color w:val="333333"/>
          <w:spacing w:val="0"/>
          <w:sz w:val="24"/>
          <w:szCs w:val="24"/>
          <w:shd w:val="clear" w:fill="FFFFFF"/>
        </w:rPr>
        <w:t>〈</w:t>
      </w:r>
      <w:r>
        <w:rPr>
          <w:rFonts w:hint="eastAsia" w:ascii="仿宋_GB2312" w:eastAsia="仿宋_GB2312"/>
          <w:sz w:val="32"/>
          <w:szCs w:val="32"/>
          <w:lang w:val="en-US" w:eastAsia="zh-CN"/>
        </w:rPr>
        <w:t>中华人民共和国政府信息公开工作年度报告格式</w:t>
      </w:r>
      <w:r>
        <w:rPr>
          <w:rFonts w:hint="eastAsia" w:ascii="微软雅黑" w:hAnsi="微软雅黑" w:eastAsia="微软雅黑" w:cs="微软雅黑"/>
          <w:i w:val="0"/>
          <w:iCs w:val="0"/>
          <w:caps w:val="0"/>
          <w:color w:val="333333"/>
          <w:spacing w:val="0"/>
          <w:sz w:val="24"/>
          <w:szCs w:val="24"/>
          <w:shd w:val="clear" w:fill="FFFFFF"/>
        </w:rPr>
        <w:t>〉</w:t>
      </w:r>
      <w:r>
        <w:rPr>
          <w:rFonts w:hint="eastAsia" w:ascii="仿宋_GB2312" w:eastAsia="仿宋_GB2312"/>
          <w:sz w:val="32"/>
          <w:szCs w:val="32"/>
          <w:lang w:val="en-US" w:eastAsia="zh-CN"/>
        </w:rPr>
        <w:t>的通知</w:t>
      </w:r>
      <w:r>
        <w:rPr>
          <w:rFonts w:hint="eastAsia" w:ascii="仿宋_GB2312" w:eastAsia="仿宋_GB2312"/>
          <w:sz w:val="32"/>
          <w:szCs w:val="32"/>
        </w:rPr>
        <w:t>》（国办公开办函〔</w:t>
      </w:r>
      <w:r>
        <w:rPr>
          <w:rFonts w:ascii="仿宋_GB2312" w:eastAsia="仿宋_GB2312"/>
          <w:sz w:val="32"/>
          <w:szCs w:val="32"/>
        </w:rPr>
        <w:t>20</w:t>
      </w:r>
      <w:r>
        <w:rPr>
          <w:rFonts w:hint="eastAsia" w:ascii="仿宋_GB2312" w:eastAsia="仿宋_GB2312"/>
          <w:sz w:val="32"/>
          <w:szCs w:val="32"/>
          <w:lang w:val="en-US" w:eastAsia="zh-CN"/>
        </w:rPr>
        <w:t>21</w:t>
      </w:r>
      <w:r>
        <w:rPr>
          <w:rFonts w:hint="eastAsia" w:ascii="仿宋_GB2312" w:eastAsia="仿宋_GB2312"/>
          <w:sz w:val="32"/>
          <w:szCs w:val="32"/>
        </w:rPr>
        <w:t>〕</w:t>
      </w:r>
      <w:r>
        <w:rPr>
          <w:rFonts w:hint="eastAsia" w:ascii="仿宋_GB2312" w:eastAsia="仿宋_GB2312"/>
          <w:sz w:val="32"/>
          <w:szCs w:val="32"/>
          <w:lang w:val="en-US" w:eastAsia="zh-CN"/>
        </w:rPr>
        <w:t>3</w:t>
      </w:r>
      <w:r>
        <w:rPr>
          <w:rFonts w:ascii="仿宋_GB2312" w:eastAsia="仿宋_GB2312"/>
          <w:sz w:val="32"/>
          <w:szCs w:val="32"/>
        </w:rPr>
        <w:t>0</w:t>
      </w:r>
      <w:r>
        <w:rPr>
          <w:rFonts w:hint="eastAsia" w:ascii="仿宋_GB2312" w:eastAsia="仿宋_GB2312"/>
          <w:sz w:val="32"/>
          <w:szCs w:val="32"/>
        </w:rPr>
        <w:t>号）。</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黑体" w:hAnsi="黑体" w:eastAsia="黑体"/>
          <w:sz w:val="32"/>
          <w:szCs w:val="32"/>
        </w:rPr>
      </w:pPr>
      <w:r>
        <w:rPr>
          <w:rFonts w:hint="eastAsia" w:ascii="黑体" w:hAnsi="黑体" w:eastAsia="黑体"/>
          <w:sz w:val="32"/>
          <w:szCs w:val="32"/>
        </w:rPr>
        <w:t>二、编制内容</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_GB2312" w:eastAsia="仿宋_GB2312"/>
          <w:sz w:val="32"/>
          <w:szCs w:val="32"/>
        </w:rPr>
      </w:pPr>
      <w:r>
        <w:rPr>
          <w:rFonts w:hint="eastAsia" w:ascii="仿宋_GB2312" w:eastAsia="仿宋_GB2312"/>
          <w:sz w:val="32"/>
          <w:szCs w:val="32"/>
        </w:rPr>
        <w:t>政府信息公开工作年度报告应当包括下列内容：</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总体情况（文字）</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rPr>
        <w:t>行政机关主动公开政府信息情况（表格）；</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lang w:val="en-US" w:eastAsia="zh-CN"/>
        </w:rPr>
        <w:t>3</w:t>
      </w:r>
      <w:r>
        <w:rPr>
          <w:rFonts w:ascii="仿宋_GB2312" w:eastAsia="仿宋_GB2312"/>
          <w:sz w:val="32"/>
          <w:szCs w:val="32"/>
        </w:rPr>
        <w:t>.</w:t>
      </w:r>
      <w:r>
        <w:rPr>
          <w:rFonts w:hint="eastAsia" w:ascii="仿宋_GB2312" w:eastAsia="仿宋_GB2312"/>
          <w:sz w:val="32"/>
          <w:szCs w:val="32"/>
        </w:rPr>
        <w:t>行政机关收到和处理政府信息公开申请情况（表格）</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因政府信息公开工作被申请行政复议、提起行政诉讼情况（表格）</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lang w:val="en-US" w:eastAsia="zh-CN"/>
        </w:rPr>
        <w:t>5.</w:t>
      </w:r>
      <w:r>
        <w:rPr>
          <w:rFonts w:hint="eastAsia" w:ascii="仿宋_GB2312" w:eastAsia="仿宋_GB2312"/>
          <w:sz w:val="32"/>
          <w:szCs w:val="32"/>
        </w:rPr>
        <w:t>政府信息公开工作存在的主要问题及改进情况（文字）</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lang w:val="en-US" w:eastAsia="zh-CN"/>
        </w:rPr>
        <w:t>6.</w:t>
      </w:r>
      <w:r>
        <w:rPr>
          <w:rFonts w:hint="eastAsia" w:ascii="仿宋_GB2312" w:eastAsia="仿宋_GB2312"/>
          <w:sz w:val="32"/>
          <w:szCs w:val="32"/>
        </w:rPr>
        <w:t>其他需要报告的事项（文字）</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黑体" w:hAnsi="黑体" w:eastAsia="黑体"/>
          <w:sz w:val="32"/>
          <w:szCs w:val="32"/>
        </w:rPr>
      </w:pPr>
      <w:r>
        <w:rPr>
          <w:rFonts w:hint="eastAsia" w:ascii="黑体" w:hAnsi="黑体" w:eastAsia="黑体"/>
          <w:sz w:val="32"/>
          <w:szCs w:val="32"/>
        </w:rPr>
        <w:t>三、格式模板</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_GB2312" w:eastAsia="仿宋_GB2312"/>
          <w:b/>
          <w:sz w:val="32"/>
          <w:szCs w:val="32"/>
        </w:rPr>
      </w:pPr>
      <w:r>
        <w:rPr>
          <w:rFonts w:hint="eastAsia" w:ascii="仿宋_GB2312" w:eastAsia="仿宋_GB2312"/>
          <w:sz w:val="32"/>
          <w:szCs w:val="32"/>
        </w:rPr>
        <w:t>按照《条例》要求，全国政府信息公开工作主管部门应当公布政府信息公开工作年度报告统一格式（模板附后），并适时更新。</w:t>
      </w:r>
      <w:r>
        <w:rPr>
          <w:rFonts w:hint="eastAsia" w:ascii="仿宋_GB2312" w:eastAsia="仿宋_GB2312"/>
          <w:b w:val="0"/>
          <w:bCs/>
          <w:sz w:val="32"/>
          <w:szCs w:val="32"/>
        </w:rPr>
        <w:t>具体要求如下：</w:t>
      </w:r>
    </w:p>
    <w:p>
      <w:pPr>
        <w:keepNext w:val="0"/>
        <w:keepLines w:val="0"/>
        <w:pageBreakBefore w:val="0"/>
        <w:numPr>
          <w:ilvl w:val="0"/>
          <w:numId w:val="1"/>
        </w:numPr>
        <w:kinsoku/>
        <w:wordWrap/>
        <w:overflowPunct/>
        <w:topLinePunct w:val="0"/>
        <w:autoSpaceDE/>
        <w:autoSpaceDN/>
        <w:bidi w:val="0"/>
        <w:adjustRightInd/>
        <w:snapToGrid/>
        <w:spacing w:line="540" w:lineRule="exact"/>
        <w:ind w:firstLine="643" w:firstLineChars="200"/>
        <w:textAlignment w:val="auto"/>
        <w:rPr>
          <w:rFonts w:hint="eastAsia" w:ascii="仿宋_GB2312" w:eastAsia="仿宋_GB2312"/>
          <w:b/>
          <w:bCs/>
          <w:sz w:val="32"/>
          <w:szCs w:val="32"/>
        </w:rPr>
      </w:pPr>
      <w:r>
        <w:rPr>
          <w:rFonts w:hint="eastAsia" w:ascii="仿宋_GB2312" w:eastAsia="仿宋_GB2312"/>
          <w:b/>
          <w:bCs/>
          <w:sz w:val="32"/>
          <w:szCs w:val="32"/>
        </w:rPr>
        <w:t>总体情况（文字描述）</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主要报告本机关上一年度政府信息公开工作总体情况，对本机关贯彻落实《中华人民共和国政府信息公开条例》情况进行综述，重在聚焦主题、简明客观，篇幅原则上不超过一千字。</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rPr>
        <w:t>1.主动公开（《条例》第19、20、21条）</w:t>
      </w:r>
      <w:r>
        <w:rPr>
          <w:rFonts w:hint="eastAsia" w:ascii="仿宋_GB2312" w:eastAsia="仿宋_GB2312"/>
          <w:sz w:val="32"/>
          <w:szCs w:val="32"/>
          <w:lang w:eastAsia="zh-CN"/>
        </w:rPr>
        <w:t>；</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rPr>
        <w:t>2.依申请公开（依申请公开总体情况、疑难申请的处理、对申请的大数据分析、《答复示范文本》的适用、《案例汇编》的学习使用等）</w:t>
      </w:r>
      <w:r>
        <w:rPr>
          <w:rFonts w:hint="eastAsia" w:ascii="仿宋_GB2312" w:eastAsia="仿宋_GB2312"/>
          <w:sz w:val="32"/>
          <w:szCs w:val="32"/>
          <w:lang w:eastAsia="zh-CN"/>
        </w:rPr>
        <w:t>；</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rPr>
        <w:t>3.政府信息管理（公开属性的界定，对公文的审核，对政府信息要素的规范，对政府信息到档案之间的转换的规范，机关内档案的管理等）</w:t>
      </w:r>
      <w:r>
        <w:rPr>
          <w:rFonts w:hint="eastAsia" w:ascii="仿宋_GB2312" w:eastAsia="仿宋_GB2312"/>
          <w:sz w:val="32"/>
          <w:szCs w:val="32"/>
          <w:lang w:eastAsia="zh-CN"/>
        </w:rPr>
        <w:t>；</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rPr>
        <w:t>4.政府信息公开平台建设（政府网站</w:t>
      </w:r>
      <w:r>
        <w:rPr>
          <w:rFonts w:hint="eastAsia" w:ascii="仿宋_GB2312" w:eastAsia="仿宋_GB2312"/>
          <w:sz w:val="32"/>
          <w:szCs w:val="32"/>
          <w:lang w:eastAsia="zh-CN"/>
        </w:rPr>
        <w:t>、</w:t>
      </w:r>
      <w:r>
        <w:rPr>
          <w:rFonts w:hint="eastAsia" w:ascii="仿宋_GB2312" w:eastAsia="仿宋_GB2312"/>
          <w:sz w:val="32"/>
          <w:szCs w:val="32"/>
        </w:rPr>
        <w:t>政务新媒体</w:t>
      </w:r>
      <w:r>
        <w:rPr>
          <w:rFonts w:hint="eastAsia" w:ascii="仿宋_GB2312" w:eastAsia="仿宋_GB2312"/>
          <w:sz w:val="32"/>
          <w:szCs w:val="32"/>
          <w:lang w:eastAsia="zh-CN"/>
        </w:rPr>
        <w:t>、</w:t>
      </w:r>
      <w:r>
        <w:rPr>
          <w:rFonts w:hint="eastAsia" w:ascii="仿宋_GB2312" w:eastAsia="仿宋_GB2312"/>
          <w:sz w:val="32"/>
          <w:szCs w:val="32"/>
        </w:rPr>
        <w:t>政府公报、政府信息查阅点、政务公开专区等）</w:t>
      </w:r>
      <w:r>
        <w:rPr>
          <w:rFonts w:hint="eastAsia" w:ascii="仿宋_GB2312" w:eastAsia="仿宋_GB2312"/>
          <w:sz w:val="32"/>
          <w:szCs w:val="32"/>
          <w:lang w:eastAsia="zh-CN"/>
        </w:rPr>
        <w:t>；</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rPr>
        <w:t>5.监督保障（含工作考核、社会评议、责任追究、培训教育、评估考核等）</w:t>
      </w:r>
      <w:r>
        <w:rPr>
          <w:rFonts w:hint="eastAsia" w:ascii="仿宋_GB2312" w:eastAsia="仿宋_GB2312"/>
          <w:sz w:val="32"/>
          <w:szCs w:val="32"/>
          <w:lang w:eastAsia="zh-CN"/>
        </w:rPr>
        <w:t>；</w:t>
      </w:r>
    </w:p>
    <w:p>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ascii="仿宋_GB2312" w:eastAsia="仿宋_GB2312"/>
          <w:b/>
          <w:bCs/>
          <w:sz w:val="32"/>
          <w:szCs w:val="32"/>
        </w:rPr>
      </w:pPr>
      <w:r>
        <w:rPr>
          <w:rFonts w:hint="eastAsia" w:ascii="仿宋_GB2312" w:eastAsia="仿宋_GB2312"/>
          <w:b/>
          <w:bCs/>
          <w:sz w:val="32"/>
          <w:szCs w:val="32"/>
        </w:rPr>
        <w:t>（二）主动公开政府信息情况（数据填报）</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1.规章：</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1）规章的制定主体仅为国务院部门（部委规章）、省级政府和设区市政府（地方政府规章），因此，其他行政机关这一栏均不填。省政府部门、市政府部门起草的规章，最终以省政府、市政府名义印发，不计入本部门的统计数量。</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（2）规章都应当公开。地方政府规章签署公布后，及时在本级人民政府公报和中国政府法制信息网以及在本行政区域范围内发行的报纸上刊载。</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（3）省市县政府在编制全市、全县的年报时，可要求同级司法行政部门（司法厅、司法局）协助统计。</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2.行政规范性文件</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（1）规范性文件是指除政府规章外，由行政机关或者经法律、法规授权的具有管理公共事务职能的组织，依照法定权限、程序制定并公开发布，涉及公民、法人和其他组织权利义务，</w:t>
      </w:r>
    </w:p>
    <w:p>
      <w:pPr>
        <w:keepNext w:val="0"/>
        <w:keepLines w:val="0"/>
        <w:pageBreakBefore w:val="0"/>
        <w:kinsoku/>
        <w:wordWrap/>
        <w:overflowPunct/>
        <w:topLinePunct w:val="0"/>
        <w:autoSpaceDE/>
        <w:autoSpaceDN/>
        <w:bidi w:val="0"/>
        <w:adjustRightInd/>
        <w:snapToGrid/>
        <w:spacing w:line="540" w:lineRule="exact"/>
        <w:textAlignment w:val="auto"/>
        <w:rPr>
          <w:rFonts w:hint="eastAsia" w:ascii="仿宋_GB2312" w:eastAsia="仿宋_GB2312"/>
          <w:sz w:val="32"/>
          <w:szCs w:val="32"/>
        </w:rPr>
      </w:pPr>
      <w:r>
        <w:rPr>
          <w:rFonts w:hint="eastAsia" w:ascii="仿宋_GB2312" w:eastAsia="仿宋_GB2312"/>
          <w:sz w:val="32"/>
          <w:szCs w:val="32"/>
        </w:rPr>
        <w:t>具有普遍约束力，在一定期限内反复适用的公文。不能把规范性文件等同于公文。</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rPr>
        <w:t>（2）规范性文件原则上都应当公开。（规范性文件不得以内部文件形式印发执行，未经公布的行政规范性文件不得作为行政管理依据）</w:t>
      </w:r>
      <w:r>
        <w:rPr>
          <w:rFonts w:hint="eastAsia" w:ascii="仿宋_GB2312" w:eastAsia="仿宋_GB2312"/>
          <w:sz w:val="32"/>
          <w:szCs w:val="32"/>
          <w:lang w:eastAsia="zh-CN"/>
        </w:rPr>
        <w:t>。</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行政许可：是指行政机关根据公民、法人或者其他组织的申请，经依法审查，准予其从事特定活动的行为，根据部门三定方案、权责清单确定。</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 xml:space="preserve">行政处罚：行政主体依照法定职权和程序对违反行政法规范，尚未构成犯罪的相对人给予行政制裁的具体行政行为。种类：警告；罚款；没收违法所得、没收非法财物；责令停产停业；暂扣或者吊销许可证、暂扣或者吊销执照；行政拘留；法律、行政法规规定的其他行政处罚。 </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eastAsia="仿宋_GB2312"/>
          <w:sz w:val="32"/>
          <w:szCs w:val="32"/>
        </w:rPr>
      </w:pPr>
      <w:r>
        <w:rPr>
          <w:rFonts w:hint="eastAsia" w:ascii="仿宋_GB2312" w:eastAsia="仿宋_GB2312"/>
          <w:sz w:val="32"/>
          <w:szCs w:val="32"/>
          <w:lang w:val="en-US" w:eastAsia="zh-CN"/>
        </w:rPr>
        <w:t>5</w:t>
      </w:r>
      <w:r>
        <w:rPr>
          <w:rFonts w:hint="eastAsia" w:ascii="仿宋_GB2312" w:eastAsia="仿宋_GB2312"/>
          <w:sz w:val="32"/>
          <w:szCs w:val="32"/>
        </w:rPr>
        <w:t>.行政强制：包括行政强制措施和行政强制执行。行政强制措施，是指行政机关在行政管理过程中，为制止违法行为、防止证据损毁、避免危害发生、控制危险扩大等情形，依法对公民的人身自由实施暂时性限制，或者对公民、法人或者其他组织的财物实施暂时性控制的行为。 行政强制执行，是指行政机关或者行政机关申请人民法院，对不履行行政决定的公民、法人或者其他组织，依法强制履行义务的行为。</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lang w:val="en-US" w:eastAsia="zh-CN"/>
        </w:rPr>
        <w:t>6</w:t>
      </w:r>
      <w:r>
        <w:rPr>
          <w:rFonts w:hint="eastAsia" w:ascii="仿宋_GB2312" w:eastAsia="仿宋_GB2312"/>
          <w:sz w:val="32"/>
          <w:szCs w:val="32"/>
        </w:rPr>
        <w:t>.“处理决定数量”指作出了多少个行政许可（具体行政行为），包括已公开和依法未公开的全部处理决定。</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7.行政事业性收费是指国家机关、事业单位、代行政府职能的社会团体及其他组织根据法律、行政法规、地方性法规等有关规定，依照国务院规定程序批准，在向公民、法人提供特定服务的过程中，按照成本补偿和非营利原则向特定服务对象收取的费用。如行政管理类收费、资源补偿类收费、鉴定类收费、考试类收费、培训类收费、其他类收费等。（可由同级财政业务主管部门或本单位财务处室提供）</w:t>
      </w:r>
    </w:p>
    <w:p>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ascii="仿宋_GB2312" w:eastAsia="仿宋_GB2312"/>
          <w:b/>
          <w:bCs/>
          <w:sz w:val="32"/>
          <w:szCs w:val="32"/>
        </w:rPr>
      </w:pPr>
      <w:r>
        <w:rPr>
          <w:rFonts w:hint="eastAsia" w:ascii="仿宋_GB2312" w:eastAsia="仿宋_GB2312"/>
          <w:b/>
          <w:bCs/>
          <w:sz w:val="32"/>
          <w:szCs w:val="32"/>
        </w:rPr>
        <w:t>（三）收到和处理政府信息公开申请情况（数据填报）</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1.本年新收政府信息公开申请数量：填报本年度本机关接收到的政府信息公开申请数量。</w:t>
      </w:r>
      <w:r>
        <w:rPr>
          <w:rFonts w:hint="eastAsia" w:ascii="仿宋_GB2312" w:eastAsia="仿宋_GB2312"/>
          <w:sz w:val="32"/>
          <w:szCs w:val="32"/>
          <w:lang w:eastAsia="zh-CN"/>
        </w:rPr>
        <w:t>（</w:t>
      </w:r>
      <w:r>
        <w:rPr>
          <w:rFonts w:hint="eastAsia" w:ascii="仿宋_GB2312" w:eastAsia="仿宋_GB2312"/>
          <w:sz w:val="32"/>
          <w:szCs w:val="32"/>
        </w:rPr>
        <w:t>本机关收到的申请，是指申请人向本机关提交并以本机关名义作出答复的申请。部门代政府起草答复文书的，不纳入部门的统计范围</w:t>
      </w:r>
      <w:r>
        <w:rPr>
          <w:rFonts w:hint="eastAsia" w:ascii="仿宋_GB2312" w:eastAsia="仿宋_GB2312"/>
          <w:sz w:val="32"/>
          <w:szCs w:val="32"/>
          <w:lang w:eastAsia="zh-CN"/>
        </w:rPr>
        <w:t>）</w:t>
      </w:r>
      <w:r>
        <w:rPr>
          <w:rFonts w:hint="eastAsia" w:ascii="仿宋_GB2312" w:eastAsia="仿宋_GB2312"/>
          <w:sz w:val="32"/>
          <w:szCs w:val="32"/>
        </w:rPr>
        <w:t>。</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2.上年结转政府信息公开申请数量：填报本机关上一年度接收，本年度作出答复的政府信息公开申请数量。</w:t>
      </w:r>
      <w:r>
        <w:rPr>
          <w:rFonts w:hint="eastAsia" w:ascii="仿宋_GB2312" w:eastAsia="仿宋_GB2312"/>
          <w:sz w:val="32"/>
          <w:szCs w:val="32"/>
          <w:lang w:eastAsia="zh-CN"/>
        </w:rPr>
        <w:t>（</w:t>
      </w:r>
      <w:r>
        <w:rPr>
          <w:rFonts w:hint="eastAsia" w:ascii="仿宋_GB2312" w:eastAsia="仿宋_GB2312"/>
          <w:sz w:val="32"/>
          <w:szCs w:val="32"/>
        </w:rPr>
        <w:t>不包括行政复议或者行政诉讼被纠错后，重新作出答复的情形</w:t>
      </w:r>
      <w:r>
        <w:rPr>
          <w:rFonts w:hint="eastAsia" w:ascii="仿宋_GB2312" w:eastAsia="仿宋_GB2312"/>
          <w:sz w:val="32"/>
          <w:szCs w:val="32"/>
          <w:lang w:eastAsia="zh-CN"/>
        </w:rPr>
        <w:t>）</w:t>
      </w:r>
      <w:r>
        <w:rPr>
          <w:rFonts w:hint="eastAsia" w:ascii="仿宋_GB2312" w:eastAsia="仿宋_GB2312"/>
          <w:sz w:val="32"/>
          <w:szCs w:val="32"/>
        </w:rPr>
        <w:t>。</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3.本年度办理结果：分类填报本年度办理政府信息公开申请的情况</w:t>
      </w:r>
      <w:r>
        <w:rPr>
          <w:rFonts w:hint="eastAsia" w:ascii="仿宋_GB2312" w:eastAsia="仿宋_GB2312"/>
          <w:sz w:val="32"/>
          <w:szCs w:val="32"/>
          <w:lang w:eastAsia="zh-CN"/>
        </w:rPr>
        <w:t>。（</w:t>
      </w:r>
      <w:r>
        <w:rPr>
          <w:rFonts w:hint="eastAsia" w:ascii="仿宋_GB2312" w:eastAsia="仿宋_GB2312"/>
          <w:sz w:val="32"/>
          <w:szCs w:val="32"/>
        </w:rPr>
        <w:t>本年度办理的申请，包括本年度收到的申请和上年度结转的申请</w:t>
      </w:r>
      <w:r>
        <w:rPr>
          <w:rFonts w:hint="eastAsia" w:ascii="仿宋_GB2312" w:eastAsia="仿宋_GB2312"/>
          <w:sz w:val="32"/>
          <w:szCs w:val="32"/>
          <w:lang w:eastAsia="zh-CN"/>
        </w:rPr>
        <w:t>）</w:t>
      </w:r>
      <w:r>
        <w:rPr>
          <w:rFonts w:hint="eastAsia" w:ascii="仿宋_GB2312" w:eastAsia="仿宋_GB2312"/>
          <w:sz w:val="32"/>
          <w:szCs w:val="32"/>
        </w:rPr>
        <w:t>。</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4</w:t>
      </w:r>
      <w:r>
        <w:rPr>
          <w:rFonts w:hint="eastAsia" w:ascii="仿宋_GB2312" w:eastAsia="仿宋_GB2312"/>
          <w:sz w:val="32"/>
          <w:szCs w:val="32"/>
          <w:lang w:eastAsia="zh-CN"/>
        </w:rPr>
        <w:t>.</w:t>
      </w:r>
      <w:r>
        <w:rPr>
          <w:rFonts w:hint="eastAsia" w:ascii="仿宋_GB2312" w:eastAsia="仿宋_GB2312"/>
          <w:sz w:val="32"/>
          <w:szCs w:val="32"/>
        </w:rPr>
        <w:t>结转下年度继续办理：填报本机关本年度接收，下一年度作出答复的政府信息公开申请数量。</w:t>
      </w:r>
      <w:r>
        <w:rPr>
          <w:rFonts w:hint="eastAsia" w:ascii="仿宋_GB2312" w:eastAsia="仿宋_GB2312"/>
          <w:sz w:val="32"/>
          <w:szCs w:val="32"/>
          <w:lang w:eastAsia="zh-CN"/>
        </w:rPr>
        <w:t>（</w:t>
      </w:r>
      <w:r>
        <w:rPr>
          <w:rFonts w:hint="eastAsia" w:ascii="仿宋_GB2312" w:eastAsia="仿宋_GB2312"/>
          <w:sz w:val="32"/>
          <w:szCs w:val="32"/>
        </w:rPr>
        <w:t>答复期限为本年的，不能结转至下年度办理）。</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5.该表格的与《陕西省政府信息公开答复示范文本》的对应关系。</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6. 注意事项：</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（1）本表只填报数字，不得填入其他内容。</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（2）要全面落实政府信息依申请公开登记制度，注意对申请人类别、办理结果类型等进行详细登记，将功夫下在日常，以便准确填报信息公开年报。《陕西省政府政府信息公开申请办理统计表》</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（3）要特别注意各行、各列数据之间的勾稽关系。</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从横向各行来看，总计＝自然人＋（商业企业＋科研机构＋社会公益组织＋法律服务机构＋其他）。</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从纵向各列来看，“本年新收政府信息公开申请数量”＋“上年结转政府信息公开申请数量”＝“本年度办理结果”＋“结转下年度继续办理”；其中，“本年度办理结果”中的“总计”＝“予以公开”＋“部分公开”＋“不予公开”＋“无法提供” ＋“不予处理”＋“其他处理”。</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（4）申请主体</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自然人：律师以个人身份的，算自然人，律师或律所受自然人委托，以自然人名义提起的申请，算自然人。（绝大多数）</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法人或其他组织：商业企业：公司；合伙；个体户;</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科研机构：中科院、社科院、西安各类军工院所；高校如上海财经大学；</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社会公益组织：中华慈善总会、中国宋庆龄基金会、中国红十字基金会、马洪基金会；</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法律服务机构：“法律服务机构”是指律师事务所、公证处、司法鉴定所、基层法律服务所等机构以自己名义提交申请的情形，不包括受他人委托，以他人名义提交申请的情形。</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其他：行政机关、居委会、村委会等。</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（5）“本年度办理结果”中的“其他处理”主要是考虑新旧条例执行衔接以及极少数特殊情况。原则上，所有的政府信息公开申请，都应当按照 5 种法定的处理方式（注：1.予以公开，2.部分公开，3.不予公开，4.无法提供，5.不予处理）做出处理。</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（6）区县政府、市级政府信息公开年报中本表相关数据，应对所属行政机关信息公开年报的相关数据进行加总，不能只填报本机关的数据。</w:t>
      </w:r>
    </w:p>
    <w:p>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ascii="仿宋_GB2312" w:eastAsia="仿宋_GB2312"/>
          <w:b/>
          <w:bCs/>
          <w:sz w:val="32"/>
          <w:szCs w:val="32"/>
        </w:rPr>
      </w:pPr>
      <w:r>
        <w:rPr>
          <w:rFonts w:hint="eastAsia" w:ascii="仿宋_GB2312" w:eastAsia="仿宋_GB2312"/>
          <w:b/>
          <w:bCs/>
          <w:sz w:val="32"/>
          <w:szCs w:val="32"/>
        </w:rPr>
        <w:t>（四）政府信息公开行政复议、行政诉讼情况（数据填报）</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1.行政复议</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 xml:space="preserve"> （1）结果维持：决定维持。</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 xml:space="preserve"> （2）结果纠正：限期履行、决定撤销、决定变更、确认违法、责令重新作出具体行政行为等。</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 xml:space="preserve"> （3）其他结果：撤回行政复议申请、行政复议终止等情形。</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 xml:space="preserve"> （4）尚未审结：已收到行政复议答复通知书，但行政复议机关未在本年度作出复议决定。 </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 xml:space="preserve"> 2.行政诉讼</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 xml:space="preserve"> （1）结果维持：维持原具体行政行为、驳回诉讼请求、驳回起诉。</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 xml:space="preserve"> （2）结果纠正：撤销判决（全部撤销、判决部分撤销、判决撤销并责成被告重新作出具体行政行为）、 限期履行判决、变更判决、确认违法等</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 xml:space="preserve"> （3）其他结果：原告撤诉、视为撤诉、诉讼终止。</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 xml:space="preserve"> （4）尚未审结：诉讼中止；正在审理。</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 xml:space="preserve"> 3.本表仅统计本机关因政府信息公开引发的行政复议和行政诉讼案件数量，不包括本机关其他具体行政行为引发的行政复议和行政诉讼案件。</w:t>
      </w:r>
    </w:p>
    <w:p>
      <w:pPr>
        <w:keepNext w:val="0"/>
        <w:keepLines w:val="0"/>
        <w:pageBreakBefore w:val="0"/>
        <w:kinsoku/>
        <w:wordWrap/>
        <w:overflowPunct/>
        <w:topLinePunct w:val="0"/>
        <w:autoSpaceDE/>
        <w:autoSpaceDN/>
        <w:bidi w:val="0"/>
        <w:adjustRightInd/>
        <w:snapToGrid/>
        <w:spacing w:line="540" w:lineRule="exact"/>
        <w:ind w:firstLine="960" w:firstLineChars="300"/>
        <w:textAlignment w:val="auto"/>
        <w:rPr>
          <w:rFonts w:hint="eastAsia" w:ascii="仿宋_GB2312" w:eastAsia="仿宋_GB2312"/>
          <w:sz w:val="32"/>
          <w:szCs w:val="32"/>
        </w:rPr>
      </w:pPr>
      <w:r>
        <w:rPr>
          <w:rFonts w:hint="eastAsia" w:ascii="仿宋_GB2312" w:eastAsia="仿宋_GB2312"/>
          <w:sz w:val="32"/>
          <w:szCs w:val="32"/>
        </w:rPr>
        <w:t>4.行政复议机关作为共同被告的行政诉讼案件，只计算原行为主体的案件数量，不计算行政复议机关的案件数量。</w:t>
      </w:r>
    </w:p>
    <w:p>
      <w:pPr>
        <w:keepNext w:val="0"/>
        <w:keepLines w:val="0"/>
        <w:pageBreakBefore w:val="0"/>
        <w:kinsoku/>
        <w:wordWrap/>
        <w:overflowPunct/>
        <w:topLinePunct w:val="0"/>
        <w:autoSpaceDE/>
        <w:autoSpaceDN/>
        <w:bidi w:val="0"/>
        <w:adjustRightInd/>
        <w:snapToGrid/>
        <w:spacing w:line="540" w:lineRule="exact"/>
        <w:ind w:firstLine="960" w:firstLineChars="300"/>
        <w:textAlignment w:val="auto"/>
        <w:rPr>
          <w:rFonts w:hint="eastAsia" w:ascii="仿宋_GB2312" w:eastAsia="仿宋_GB2312"/>
          <w:sz w:val="32"/>
          <w:szCs w:val="32"/>
        </w:rPr>
      </w:pPr>
      <w:r>
        <w:rPr>
          <w:rFonts w:hint="eastAsia" w:ascii="仿宋_GB2312" w:eastAsia="仿宋_GB2312"/>
          <w:sz w:val="32"/>
          <w:szCs w:val="32"/>
        </w:rPr>
        <w:t>5.统计的时间范围，以收到作出行政复议答复通知书或者行政诉讼应诉通知书的时间为准（例如：2020年作出的政府信息公开决定，申请人2021 年才提出行政复议或者行政诉讼，则该案件纳入2021年信息公开年报的统计范围）。</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6.部门代政府办理政府信息公开申请，引发行政复议或者行政诉讼的，不纳入本部门的统计范围。</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7.区县政府、市级政府信息公开年报中本表相关数据，应对所属行政机关信息公开年报的相关数据进行加总，不能只填报本机关的数据。</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8.区县政府、市级政府的信息公开类行政复议和行政诉讼数据，可与本级政府司法行政部门和同级人民法院协调沟通确认。</w:t>
      </w:r>
    </w:p>
    <w:p>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eastAsia="仿宋_GB2312"/>
          <w:b/>
          <w:bCs/>
          <w:sz w:val="32"/>
          <w:szCs w:val="32"/>
        </w:rPr>
      </w:pPr>
      <w:r>
        <w:rPr>
          <w:rFonts w:hint="eastAsia" w:ascii="仿宋_GB2312" w:eastAsia="仿宋_GB2312"/>
          <w:b/>
          <w:bCs/>
          <w:sz w:val="32"/>
          <w:szCs w:val="32"/>
        </w:rPr>
        <w:t>（五）存在的主要问题及改进情况（文字描述）</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1.该部分采用文字描述。该部分主要报告本机关上一年度政府信息公开工作中存在的主要问题及改进情况。此项内容重在实事求是、明确具体，避免笼统模糊、泛泛而谈。查找问题要有针对性，改进举措要有实效性，不得出现敷衍了事甚至年年雷同现象。</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2.提出的问题要实事求是，符合客观实际。</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3.改进情况应当针对存在的问题一 一作出回应，避免漏项，要说明改进的成效，确保改进到位。</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_GB2312" w:eastAsia="仿宋_GB2312"/>
          <w:sz w:val="32"/>
          <w:szCs w:val="32"/>
        </w:rPr>
      </w:pPr>
      <w:r>
        <w:rPr>
          <w:rFonts w:hint="eastAsia" w:ascii="仿宋_GB2312" w:eastAsia="仿宋_GB2312"/>
          <w:sz w:val="32"/>
          <w:szCs w:val="32"/>
        </w:rPr>
        <w:t>4.区县政府、市级部门信息公开年报要从全区（县）、全市的角度进行报告，避免只报告本机关的情况，导致与本机关信息公开年报雷同。要求实事求是反应本单位、本部门政府信息公开存在的主要问题，提出具体、明确的改进措施，要有针对性，避免年年雷同。</w:t>
      </w:r>
    </w:p>
    <w:p>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ascii="仿宋_GB2312" w:eastAsia="仿宋_GB2312"/>
          <w:b/>
          <w:bCs/>
          <w:sz w:val="32"/>
          <w:szCs w:val="32"/>
        </w:rPr>
      </w:pPr>
      <w:r>
        <w:rPr>
          <w:rFonts w:hint="eastAsia" w:ascii="仿宋_GB2312" w:eastAsia="仿宋_GB2312"/>
          <w:b/>
          <w:bCs/>
          <w:sz w:val="32"/>
          <w:szCs w:val="32"/>
        </w:rPr>
        <w:t>（六）其他需要报告的事项（文字描述）</w:t>
      </w:r>
    </w:p>
    <w:p>
      <w:pPr>
        <w:keepNext w:val="0"/>
        <w:keepLines w:val="0"/>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lang w:val="en-US" w:eastAsia="zh-CN"/>
        </w:rPr>
      </w:pPr>
      <w:r>
        <w:rPr>
          <w:rFonts w:hint="eastAsia"/>
          <w:lang w:val="en-US" w:eastAsia="zh-CN"/>
        </w:rPr>
        <w:t xml:space="preserve">  </w:t>
      </w:r>
      <w:r>
        <w:rPr>
          <w:rFonts w:hint="eastAsia" w:ascii="仿宋_GB2312" w:hAnsi="仿宋_GB2312" w:eastAsia="仿宋_GB2312" w:cs="仿宋_GB2312"/>
          <w:sz w:val="32"/>
          <w:szCs w:val="32"/>
          <w:lang w:val="en-US" w:eastAsia="zh-CN"/>
        </w:rPr>
        <w:t xml:space="preserve">   该部分采用文字描述。该部分主要报告本机关认为需要报告的其他事项，以及其他有关文件专门要求通过政府信息公开工作年度报告予以报告的事项。</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1.《2021年政务公开工作要点》落实情况。（各地区、各部门要将本要点落实情况纳入政府信息公开工作年度报告予以公开，接受社会监督）</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2.各级行政机关依据《政府信息公开信息处理费管理办法》收取信息处理费的情况。</w:t>
      </w:r>
    </w:p>
    <w:sectPr>
      <w:footerReference r:id="rId4" w:type="first"/>
      <w:footerReference r:id="rId3" w:type="even"/>
      <w:pgSz w:w="11906" w:h="16838"/>
      <w:pgMar w:top="2098" w:right="1474" w:bottom="1985" w:left="1588" w:header="851" w:footer="1588"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1488" w:wrap="around" w:vAnchor="text" w:hAnchor="page" w:x="1951" w:y="76"/>
      <w:rPr>
        <w:rStyle w:val="9"/>
        <w:rFonts w:ascii="宋体"/>
        <w:sz w:val="28"/>
        <w:szCs w:val="28"/>
      </w:rPr>
    </w:pPr>
    <w:r>
      <w:rPr>
        <w:rStyle w:val="9"/>
        <w:rFonts w:ascii="宋体"/>
        <w:sz w:val="28"/>
        <w:szCs w:val="28"/>
      </w:rPr>
      <w:t xml:space="preserve">—  </w:t>
    </w:r>
    <w:r>
      <w:rPr>
        <w:rStyle w:val="9"/>
        <w:rFonts w:ascii="宋体"/>
        <w:sz w:val="28"/>
        <w:szCs w:val="28"/>
      </w:rPr>
      <w:fldChar w:fldCharType="begin"/>
    </w:r>
    <w:r>
      <w:rPr>
        <w:rStyle w:val="9"/>
        <w:rFonts w:ascii="宋体"/>
        <w:sz w:val="28"/>
        <w:szCs w:val="28"/>
      </w:rPr>
      <w:instrText xml:space="preserve">PAGE  </w:instrText>
    </w:r>
    <w:r>
      <w:rPr>
        <w:rStyle w:val="9"/>
        <w:rFonts w:ascii="宋体"/>
        <w:sz w:val="28"/>
        <w:szCs w:val="28"/>
      </w:rPr>
      <w:fldChar w:fldCharType="separate"/>
    </w:r>
    <w:r>
      <w:rPr>
        <w:rStyle w:val="9"/>
        <w:rFonts w:ascii="宋体"/>
        <w:sz w:val="28"/>
        <w:szCs w:val="28"/>
      </w:rPr>
      <w:t>12</w:t>
    </w:r>
    <w:r>
      <w:rPr>
        <w:rStyle w:val="9"/>
        <w:rFonts w:ascii="宋体"/>
        <w:sz w:val="28"/>
        <w:szCs w:val="28"/>
      </w:rPr>
      <w:fldChar w:fldCharType="end"/>
    </w:r>
    <w:r>
      <w:rPr>
        <w:rStyle w:val="9"/>
        <w:rFonts w:ascii="宋体"/>
        <w:sz w:val="28"/>
        <w:szCs w:val="28"/>
      </w:rPr>
      <w:t xml:space="preserve">  —</w:t>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1488" w:wrap="around" w:vAnchor="text" w:hAnchor="page" w:x="8836" w:y="1"/>
      <w:rPr>
        <w:rStyle w:val="9"/>
        <w:rFonts w:ascii="宋体"/>
        <w:sz w:val="28"/>
        <w:szCs w:val="28"/>
      </w:rPr>
    </w:pPr>
    <w:r>
      <w:rPr>
        <w:rStyle w:val="9"/>
        <w:rFonts w:ascii="宋体"/>
        <w:sz w:val="28"/>
        <w:szCs w:val="28"/>
      </w:rPr>
      <w:t xml:space="preserve">—  </w:t>
    </w:r>
    <w:r>
      <w:rPr>
        <w:rStyle w:val="9"/>
        <w:rFonts w:ascii="宋体"/>
        <w:sz w:val="28"/>
        <w:szCs w:val="28"/>
      </w:rPr>
      <w:fldChar w:fldCharType="begin"/>
    </w:r>
    <w:r>
      <w:rPr>
        <w:rStyle w:val="9"/>
        <w:rFonts w:ascii="宋体"/>
        <w:sz w:val="28"/>
        <w:szCs w:val="28"/>
      </w:rPr>
      <w:instrText xml:space="preserve">PAGE  </w:instrText>
    </w:r>
    <w:r>
      <w:rPr>
        <w:rStyle w:val="9"/>
        <w:rFonts w:ascii="宋体"/>
        <w:sz w:val="28"/>
        <w:szCs w:val="28"/>
      </w:rPr>
      <w:fldChar w:fldCharType="separate"/>
    </w:r>
    <w:r>
      <w:rPr>
        <w:rStyle w:val="9"/>
        <w:rFonts w:ascii="宋体"/>
        <w:sz w:val="28"/>
        <w:szCs w:val="28"/>
      </w:rPr>
      <w:t>1</w:t>
    </w:r>
    <w:r>
      <w:rPr>
        <w:rStyle w:val="9"/>
        <w:rFonts w:ascii="宋体"/>
        <w:sz w:val="28"/>
        <w:szCs w:val="28"/>
      </w:rPr>
      <w:fldChar w:fldCharType="end"/>
    </w:r>
    <w:r>
      <w:rPr>
        <w:rStyle w:val="9"/>
        <w:rFonts w:ascii="宋体"/>
        <w:sz w:val="28"/>
        <w:szCs w:val="28"/>
      </w:rPr>
      <w:t xml:space="preserve">  —</w:t>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989B06"/>
    <w:multiLevelType w:val="singleLevel"/>
    <w:tmpl w:val="08989B0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178C5"/>
    <w:rsid w:val="00000C2F"/>
    <w:rsid w:val="00001E34"/>
    <w:rsid w:val="0000709F"/>
    <w:rsid w:val="000265C0"/>
    <w:rsid w:val="00032A5A"/>
    <w:rsid w:val="00044A5D"/>
    <w:rsid w:val="00064F4C"/>
    <w:rsid w:val="000650FE"/>
    <w:rsid w:val="00080830"/>
    <w:rsid w:val="000A3BDA"/>
    <w:rsid w:val="000B6F2D"/>
    <w:rsid w:val="000C5135"/>
    <w:rsid w:val="000E2FBF"/>
    <w:rsid w:val="000E4D36"/>
    <w:rsid w:val="000E7CB0"/>
    <w:rsid w:val="000F4C8B"/>
    <w:rsid w:val="001037B5"/>
    <w:rsid w:val="00110658"/>
    <w:rsid w:val="00112B18"/>
    <w:rsid w:val="00156BBE"/>
    <w:rsid w:val="00163E7D"/>
    <w:rsid w:val="001710F3"/>
    <w:rsid w:val="00175135"/>
    <w:rsid w:val="001A0F71"/>
    <w:rsid w:val="001A69F6"/>
    <w:rsid w:val="001B2E7F"/>
    <w:rsid w:val="001F7136"/>
    <w:rsid w:val="00200BC3"/>
    <w:rsid w:val="00221388"/>
    <w:rsid w:val="002229C7"/>
    <w:rsid w:val="002254C4"/>
    <w:rsid w:val="00233732"/>
    <w:rsid w:val="002478EC"/>
    <w:rsid w:val="002650A3"/>
    <w:rsid w:val="00270500"/>
    <w:rsid w:val="00276D14"/>
    <w:rsid w:val="00281504"/>
    <w:rsid w:val="00282322"/>
    <w:rsid w:val="00290571"/>
    <w:rsid w:val="002A55E8"/>
    <w:rsid w:val="002A6775"/>
    <w:rsid w:val="002D0F07"/>
    <w:rsid w:val="002D547C"/>
    <w:rsid w:val="002D5DA3"/>
    <w:rsid w:val="002E13BD"/>
    <w:rsid w:val="002E7A4B"/>
    <w:rsid w:val="00312FA3"/>
    <w:rsid w:val="0032034C"/>
    <w:rsid w:val="00322519"/>
    <w:rsid w:val="0032761C"/>
    <w:rsid w:val="00334948"/>
    <w:rsid w:val="00354E9F"/>
    <w:rsid w:val="00365A45"/>
    <w:rsid w:val="00372538"/>
    <w:rsid w:val="00381133"/>
    <w:rsid w:val="00382446"/>
    <w:rsid w:val="0038686D"/>
    <w:rsid w:val="003964E3"/>
    <w:rsid w:val="003C4113"/>
    <w:rsid w:val="003C7286"/>
    <w:rsid w:val="003D7A44"/>
    <w:rsid w:val="003E1A61"/>
    <w:rsid w:val="003E6E14"/>
    <w:rsid w:val="003F537B"/>
    <w:rsid w:val="00401201"/>
    <w:rsid w:val="00415F4C"/>
    <w:rsid w:val="004228D0"/>
    <w:rsid w:val="004305A9"/>
    <w:rsid w:val="0043477D"/>
    <w:rsid w:val="0044022E"/>
    <w:rsid w:val="004433F5"/>
    <w:rsid w:val="00451BB2"/>
    <w:rsid w:val="00463CE3"/>
    <w:rsid w:val="0047485E"/>
    <w:rsid w:val="004779C0"/>
    <w:rsid w:val="00490065"/>
    <w:rsid w:val="004979E8"/>
    <w:rsid w:val="004B3323"/>
    <w:rsid w:val="004C559E"/>
    <w:rsid w:val="004D761B"/>
    <w:rsid w:val="004E1AB9"/>
    <w:rsid w:val="004E2586"/>
    <w:rsid w:val="005264B7"/>
    <w:rsid w:val="005433C5"/>
    <w:rsid w:val="00546400"/>
    <w:rsid w:val="00546E5B"/>
    <w:rsid w:val="00562DDC"/>
    <w:rsid w:val="00572D87"/>
    <w:rsid w:val="005734CC"/>
    <w:rsid w:val="005742CD"/>
    <w:rsid w:val="00581070"/>
    <w:rsid w:val="00590E48"/>
    <w:rsid w:val="005918E6"/>
    <w:rsid w:val="005A0747"/>
    <w:rsid w:val="005B34BB"/>
    <w:rsid w:val="005B4B04"/>
    <w:rsid w:val="005D1B3F"/>
    <w:rsid w:val="005D5D4F"/>
    <w:rsid w:val="005E5501"/>
    <w:rsid w:val="005F789C"/>
    <w:rsid w:val="006120AA"/>
    <w:rsid w:val="00623A53"/>
    <w:rsid w:val="0064264A"/>
    <w:rsid w:val="00656F02"/>
    <w:rsid w:val="00672C3F"/>
    <w:rsid w:val="00673970"/>
    <w:rsid w:val="006812EF"/>
    <w:rsid w:val="00695E29"/>
    <w:rsid w:val="006A253C"/>
    <w:rsid w:val="006A791D"/>
    <w:rsid w:val="006B5713"/>
    <w:rsid w:val="006D54DF"/>
    <w:rsid w:val="006F1240"/>
    <w:rsid w:val="006F3972"/>
    <w:rsid w:val="006F7808"/>
    <w:rsid w:val="0070427E"/>
    <w:rsid w:val="0071046E"/>
    <w:rsid w:val="00711A9A"/>
    <w:rsid w:val="00715706"/>
    <w:rsid w:val="00725DDC"/>
    <w:rsid w:val="00761336"/>
    <w:rsid w:val="00792935"/>
    <w:rsid w:val="00797977"/>
    <w:rsid w:val="007A10B5"/>
    <w:rsid w:val="007C1135"/>
    <w:rsid w:val="007D1293"/>
    <w:rsid w:val="007E5C21"/>
    <w:rsid w:val="008053D1"/>
    <w:rsid w:val="008444B1"/>
    <w:rsid w:val="00844A46"/>
    <w:rsid w:val="00864856"/>
    <w:rsid w:val="0086788B"/>
    <w:rsid w:val="00882EC9"/>
    <w:rsid w:val="00886F54"/>
    <w:rsid w:val="00891107"/>
    <w:rsid w:val="00891593"/>
    <w:rsid w:val="00891818"/>
    <w:rsid w:val="008A4503"/>
    <w:rsid w:val="008D3D17"/>
    <w:rsid w:val="008D4920"/>
    <w:rsid w:val="008D698B"/>
    <w:rsid w:val="008F767E"/>
    <w:rsid w:val="00901F88"/>
    <w:rsid w:val="009536F2"/>
    <w:rsid w:val="00976BA2"/>
    <w:rsid w:val="009C6CB4"/>
    <w:rsid w:val="009D004C"/>
    <w:rsid w:val="009D4E4D"/>
    <w:rsid w:val="009D613F"/>
    <w:rsid w:val="00A053F5"/>
    <w:rsid w:val="00A07871"/>
    <w:rsid w:val="00A208E8"/>
    <w:rsid w:val="00A3013A"/>
    <w:rsid w:val="00A33C65"/>
    <w:rsid w:val="00A43016"/>
    <w:rsid w:val="00A50D34"/>
    <w:rsid w:val="00A62B79"/>
    <w:rsid w:val="00A74E77"/>
    <w:rsid w:val="00A82620"/>
    <w:rsid w:val="00A8426B"/>
    <w:rsid w:val="00A90DBB"/>
    <w:rsid w:val="00A926C3"/>
    <w:rsid w:val="00A96CCE"/>
    <w:rsid w:val="00AA4E3F"/>
    <w:rsid w:val="00AB1C8E"/>
    <w:rsid w:val="00AC32B4"/>
    <w:rsid w:val="00AD14F1"/>
    <w:rsid w:val="00AD40C3"/>
    <w:rsid w:val="00AE1B99"/>
    <w:rsid w:val="00AF1EB4"/>
    <w:rsid w:val="00B050A7"/>
    <w:rsid w:val="00B07D3A"/>
    <w:rsid w:val="00B37DAB"/>
    <w:rsid w:val="00B42F89"/>
    <w:rsid w:val="00B46782"/>
    <w:rsid w:val="00B52613"/>
    <w:rsid w:val="00B60375"/>
    <w:rsid w:val="00B726EB"/>
    <w:rsid w:val="00B72EBC"/>
    <w:rsid w:val="00B756F7"/>
    <w:rsid w:val="00B8477E"/>
    <w:rsid w:val="00B92122"/>
    <w:rsid w:val="00BA12C1"/>
    <w:rsid w:val="00BA1425"/>
    <w:rsid w:val="00BB327C"/>
    <w:rsid w:val="00BC7BE0"/>
    <w:rsid w:val="00BD2536"/>
    <w:rsid w:val="00C13899"/>
    <w:rsid w:val="00C22B18"/>
    <w:rsid w:val="00C461E3"/>
    <w:rsid w:val="00C46EED"/>
    <w:rsid w:val="00C64B18"/>
    <w:rsid w:val="00C662F0"/>
    <w:rsid w:val="00C72E9D"/>
    <w:rsid w:val="00C73D9D"/>
    <w:rsid w:val="00C80B74"/>
    <w:rsid w:val="00C8579C"/>
    <w:rsid w:val="00C96D4C"/>
    <w:rsid w:val="00CA0EE1"/>
    <w:rsid w:val="00CA30B9"/>
    <w:rsid w:val="00CB6CCA"/>
    <w:rsid w:val="00CC1F19"/>
    <w:rsid w:val="00CC3364"/>
    <w:rsid w:val="00CC5ABC"/>
    <w:rsid w:val="00CD042C"/>
    <w:rsid w:val="00CD0BA4"/>
    <w:rsid w:val="00CE0C2D"/>
    <w:rsid w:val="00CE6E17"/>
    <w:rsid w:val="00D01316"/>
    <w:rsid w:val="00D05FEF"/>
    <w:rsid w:val="00D06183"/>
    <w:rsid w:val="00D178C5"/>
    <w:rsid w:val="00D263D7"/>
    <w:rsid w:val="00D26D81"/>
    <w:rsid w:val="00D317C1"/>
    <w:rsid w:val="00D41050"/>
    <w:rsid w:val="00D43970"/>
    <w:rsid w:val="00D43F52"/>
    <w:rsid w:val="00D57FB0"/>
    <w:rsid w:val="00D63DD1"/>
    <w:rsid w:val="00D66DCB"/>
    <w:rsid w:val="00D878A2"/>
    <w:rsid w:val="00DB1351"/>
    <w:rsid w:val="00DC505E"/>
    <w:rsid w:val="00DC52EC"/>
    <w:rsid w:val="00DC54DA"/>
    <w:rsid w:val="00DD6B40"/>
    <w:rsid w:val="00DE2018"/>
    <w:rsid w:val="00DE53B4"/>
    <w:rsid w:val="00E0319A"/>
    <w:rsid w:val="00E15A1D"/>
    <w:rsid w:val="00E74758"/>
    <w:rsid w:val="00E7582C"/>
    <w:rsid w:val="00E80050"/>
    <w:rsid w:val="00E85350"/>
    <w:rsid w:val="00E97786"/>
    <w:rsid w:val="00EB3C7A"/>
    <w:rsid w:val="00EC74D3"/>
    <w:rsid w:val="00EC7998"/>
    <w:rsid w:val="00ED2838"/>
    <w:rsid w:val="00F1315A"/>
    <w:rsid w:val="00F225DE"/>
    <w:rsid w:val="00F23B84"/>
    <w:rsid w:val="00F23FA7"/>
    <w:rsid w:val="00F24A59"/>
    <w:rsid w:val="00F27AD5"/>
    <w:rsid w:val="00F35A3F"/>
    <w:rsid w:val="00F41B59"/>
    <w:rsid w:val="00F451A7"/>
    <w:rsid w:val="00F5034F"/>
    <w:rsid w:val="00F836F4"/>
    <w:rsid w:val="00F92DA8"/>
    <w:rsid w:val="00F967A5"/>
    <w:rsid w:val="00F96C0C"/>
    <w:rsid w:val="00F9749C"/>
    <w:rsid w:val="00FB7CE5"/>
    <w:rsid w:val="00FC62D1"/>
    <w:rsid w:val="00FC65E0"/>
    <w:rsid w:val="00FC6C2E"/>
    <w:rsid w:val="00FD0161"/>
    <w:rsid w:val="00FD7C2D"/>
    <w:rsid w:val="00FE2281"/>
    <w:rsid w:val="00FF195A"/>
    <w:rsid w:val="00FF2848"/>
    <w:rsid w:val="00FF7F1F"/>
    <w:rsid w:val="0A6F38B0"/>
    <w:rsid w:val="0FBF1CD2"/>
    <w:rsid w:val="12A14746"/>
    <w:rsid w:val="163501F9"/>
    <w:rsid w:val="1C465F4C"/>
    <w:rsid w:val="1D0D1198"/>
    <w:rsid w:val="1EC95AF2"/>
    <w:rsid w:val="22B90900"/>
    <w:rsid w:val="2E864BA1"/>
    <w:rsid w:val="2FAF35B6"/>
    <w:rsid w:val="31BB2DB3"/>
    <w:rsid w:val="337A6C9E"/>
    <w:rsid w:val="38A345A1"/>
    <w:rsid w:val="38B003CE"/>
    <w:rsid w:val="3A9B2AAC"/>
    <w:rsid w:val="433A0966"/>
    <w:rsid w:val="47DA6C91"/>
    <w:rsid w:val="4ABF132F"/>
    <w:rsid w:val="51CD68A1"/>
    <w:rsid w:val="562543F0"/>
    <w:rsid w:val="592D221C"/>
    <w:rsid w:val="60D03EB5"/>
    <w:rsid w:val="61551A18"/>
    <w:rsid w:val="652C7549"/>
    <w:rsid w:val="72B53D55"/>
    <w:rsid w:val="75CF01A8"/>
    <w:rsid w:val="76120A2D"/>
    <w:rsid w:val="769907B6"/>
    <w:rsid w:val="7DD20A10"/>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nhideWhenUsed="0"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qFormat/>
    <w:uiPriority w:val="99"/>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0"/>
    <w:semiHidden/>
    <w:uiPriority w:val="99"/>
    <w:pPr>
      <w:ind w:left="100" w:leftChars="2500"/>
    </w:pPr>
  </w:style>
  <w:style w:type="paragraph" w:styleId="3">
    <w:name w:val="Balloon Text"/>
    <w:basedOn w:val="1"/>
    <w:link w:val="11"/>
    <w:semiHidden/>
    <w:qFormat/>
    <w:uiPriority w:val="99"/>
    <w:rPr>
      <w:sz w:val="18"/>
      <w:szCs w:val="18"/>
    </w:rPr>
  </w:style>
  <w:style w:type="paragraph" w:styleId="4">
    <w:name w:val="footer"/>
    <w:basedOn w:val="1"/>
    <w:link w:val="12"/>
    <w:qFormat/>
    <w:uiPriority w:val="99"/>
    <w:pPr>
      <w:tabs>
        <w:tab w:val="center" w:pos="4153"/>
        <w:tab w:val="right" w:pos="8306"/>
      </w:tabs>
      <w:snapToGrid w:val="0"/>
      <w:jc w:val="left"/>
    </w:pPr>
    <w:rPr>
      <w:sz w:val="18"/>
      <w:szCs w:val="18"/>
    </w:rPr>
  </w:style>
  <w:style w:type="paragraph" w:styleId="5">
    <w:name w:val="header"/>
    <w:basedOn w:val="1"/>
    <w:link w:val="13"/>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9">
    <w:name w:val="page number"/>
    <w:basedOn w:val="8"/>
    <w:qFormat/>
    <w:uiPriority w:val="99"/>
    <w:rPr>
      <w:rFonts w:cs="Times New Roman"/>
    </w:rPr>
  </w:style>
  <w:style w:type="character" w:customStyle="1" w:styleId="10">
    <w:name w:val="Date Char"/>
    <w:basedOn w:val="8"/>
    <w:link w:val="2"/>
    <w:semiHidden/>
    <w:qFormat/>
    <w:locked/>
    <w:uiPriority w:val="99"/>
    <w:rPr>
      <w:rFonts w:cs="Times New Roman"/>
    </w:rPr>
  </w:style>
  <w:style w:type="character" w:customStyle="1" w:styleId="11">
    <w:name w:val="Balloon Text Char"/>
    <w:basedOn w:val="8"/>
    <w:link w:val="3"/>
    <w:semiHidden/>
    <w:qFormat/>
    <w:locked/>
    <w:uiPriority w:val="99"/>
    <w:rPr>
      <w:rFonts w:cs="Times New Roman"/>
      <w:sz w:val="18"/>
      <w:szCs w:val="18"/>
    </w:rPr>
  </w:style>
  <w:style w:type="character" w:customStyle="1" w:styleId="12">
    <w:name w:val="Footer Char"/>
    <w:basedOn w:val="8"/>
    <w:link w:val="4"/>
    <w:qFormat/>
    <w:locked/>
    <w:uiPriority w:val="99"/>
    <w:rPr>
      <w:rFonts w:cs="Times New Roman"/>
      <w:sz w:val="18"/>
      <w:szCs w:val="18"/>
    </w:rPr>
  </w:style>
  <w:style w:type="character" w:customStyle="1" w:styleId="13">
    <w:name w:val="Header Char"/>
    <w:basedOn w:val="8"/>
    <w:link w:val="5"/>
    <w:qFormat/>
    <w:locked/>
    <w:uiPriority w:val="99"/>
    <w:rPr>
      <w:rFonts w:cs="Times New Roman"/>
      <w:sz w:val="18"/>
      <w:szCs w:val="18"/>
    </w:rPr>
  </w:style>
  <w:style w:type="paragraph" w:styleId="14">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13</Pages>
  <Words>2894</Words>
  <Characters>2924</Characters>
  <Lines>0</Lines>
  <Paragraphs>0</Paragraphs>
  <TotalTime>21</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2020-04-26T02:04:00Z</dcterms:created>
  <dc:creator>NTKO</dc:creator>
  <cp:lastModifiedBy> ┃Ｍ.onk°</cp:lastModifiedBy>
  <cp:lastPrinted>2020-03-18T11:12:00Z</cp:lastPrinted>
  <dcterms:modified xsi:type="dcterms:W3CDTF">2022-01-12T07:53:46Z</dcterms:modified>
  <cp:revision>381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F486CE29B9F1438EA9BCA68675E1644A</vt:lpwstr>
  </property>
</Properties>
</file>