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sz w:val="30"/>
          <w:szCs w:val="30"/>
        </w:rPr>
      </w:pPr>
    </w:p>
    <w:p>
      <w:pPr>
        <w:rPr>
          <w:rFonts w:eastAsia="楷体_GB2312"/>
          <w:sz w:val="30"/>
          <w:szCs w:val="30"/>
        </w:rPr>
      </w:pPr>
    </w:p>
    <w:p>
      <w:pPr>
        <w:rPr>
          <w:rFonts w:eastAsia="楷体_GB2312"/>
          <w:sz w:val="30"/>
          <w:szCs w:val="30"/>
        </w:rPr>
      </w:pPr>
    </w:p>
    <w:p>
      <w:pPr>
        <w:jc w:val="center"/>
        <w:rPr>
          <w:rFonts w:ascii="方正小标宋简体" w:eastAsia="方正小标宋简体"/>
          <w:color w:val="FF0000"/>
          <w:spacing w:val="60"/>
          <w:kern w:val="0"/>
          <w:sz w:val="120"/>
          <w:szCs w:val="120"/>
        </w:rPr>
      </w:pPr>
      <w:r>
        <w:rPr>
          <w:rFonts w:hint="eastAsia" w:ascii="方正小标宋简体" w:eastAsia="方正小标宋简体"/>
          <w:color w:val="FF0000"/>
          <w:spacing w:val="8"/>
          <w:w w:val="57"/>
          <w:kern w:val="0"/>
          <w:sz w:val="120"/>
          <w:szCs w:val="120"/>
          <w:fitText w:val="8982" w:id="0"/>
        </w:rPr>
        <w:t>紫阳县教育体育和科技局文件</w:t>
      </w:r>
    </w:p>
    <w:p>
      <w:pPr>
        <w:spacing w:line="260" w:lineRule="exact"/>
        <w:rPr>
          <w:rFonts w:eastAsia="楷体_GB2312"/>
          <w:sz w:val="30"/>
          <w:szCs w:val="30"/>
        </w:rPr>
      </w:pPr>
    </w:p>
    <w:p>
      <w:pPr>
        <w:spacing w:line="260" w:lineRule="exact"/>
        <w:rPr>
          <w:rFonts w:eastAsia="楷体_GB2312"/>
          <w:sz w:val="30"/>
          <w:szCs w:val="30"/>
        </w:rPr>
      </w:pPr>
    </w:p>
    <w:p>
      <w:pPr>
        <w:spacing w:line="260" w:lineRule="exact"/>
        <w:rPr>
          <w:rFonts w:eastAsia="楷体_GB2312"/>
          <w:sz w:val="30"/>
          <w:szCs w:val="30"/>
        </w:rPr>
      </w:pPr>
    </w:p>
    <w:p>
      <w:pPr>
        <w:jc w:val="distribute"/>
        <w:rPr>
          <w:rFonts w:hint="eastAsia" w:ascii="楷体_GB2312" w:hAnsi="华文楷体" w:eastAsia="仿宋_GB2312"/>
          <w:b/>
          <w:szCs w:val="32"/>
          <w:lang w:eastAsia="zh-CN"/>
        </w:rPr>
      </w:pPr>
      <w:r>
        <w:rPr>
          <w:rFonts w:hint="eastAsia" w:ascii="仿宋_GB2312" w:hAnsi="Verdana"/>
          <w:szCs w:val="32"/>
        </w:rPr>
        <w:t>紫教体科字〔</w:t>
      </w:r>
      <w:r>
        <w:rPr>
          <w:rFonts w:hint="eastAsia" w:ascii="仿宋_GB2312" w:hAnsi="Verdana"/>
          <w:szCs w:val="32"/>
          <w:lang w:eastAsia="zh-CN"/>
        </w:rPr>
        <w:t>2021</w:t>
      </w:r>
      <w:r>
        <w:rPr>
          <w:rFonts w:hint="eastAsia" w:ascii="仿宋_GB2312" w:hAnsi="Verdana"/>
          <w:szCs w:val="32"/>
        </w:rPr>
        <w:t>〕</w:t>
      </w:r>
      <w:r>
        <w:rPr>
          <w:rFonts w:hint="eastAsia" w:ascii="仿宋_GB2312" w:hAnsi="Verdana"/>
          <w:szCs w:val="32"/>
          <w:lang w:val="en-US" w:eastAsia="zh-CN"/>
        </w:rPr>
        <w:t>462</w:t>
      </w:r>
      <w:r>
        <w:rPr>
          <w:rFonts w:hint="eastAsia" w:ascii="仿宋_GB2312" w:hAnsi="Verdana"/>
          <w:szCs w:val="32"/>
        </w:rPr>
        <w:t xml:space="preserve">号   </w:t>
      </w:r>
      <w:r>
        <w:rPr>
          <w:rFonts w:hint="eastAsia" w:ascii="仿宋_GB2312" w:hAnsi="Verdana"/>
          <w:sz w:val="30"/>
          <w:szCs w:val="30"/>
        </w:rPr>
        <w:t xml:space="preserve">                 </w:t>
      </w:r>
      <w:r>
        <w:rPr>
          <w:rFonts w:hint="eastAsia" w:ascii="仿宋_GB2312" w:hAnsi="Verdana"/>
          <w:szCs w:val="32"/>
        </w:rPr>
        <w:t>签发人：</w:t>
      </w:r>
      <w:r>
        <w:rPr>
          <w:rFonts w:hint="eastAsia" w:ascii="楷体_GB2312" w:hAnsi="Verdana" w:eastAsia="楷体_GB2312"/>
          <w:szCs w:val="32"/>
          <w:lang w:eastAsia="zh-CN"/>
        </w:rPr>
        <w:t>刘登全</w:t>
      </w:r>
    </w:p>
    <w:p>
      <w:pPr>
        <w:jc w:val="center"/>
        <w:rPr>
          <w:rFonts w:eastAsia="楷体_GB2312"/>
          <w:sz w:val="30"/>
          <w:szCs w:val="30"/>
        </w:rPr>
      </w:pPr>
      <w:r>
        <w:rPr>
          <w:rFonts w:hint="eastAsia" w:eastAsia="楷体_GB2312"/>
          <w:sz w:val="30"/>
          <w:szCs w:val="30"/>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73660</wp:posOffset>
                </wp:positionV>
                <wp:extent cx="5943600" cy="0"/>
                <wp:effectExtent l="10160" t="9525" r="18415" b="9525"/>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11.1pt;margin-top:5.8pt;height:0pt;width:468pt;z-index:251659264;mso-width-relative:page;mso-height-relative:page;" filled="f" stroked="t" coordsize="21600,21600" o:gfxdata="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KEO6HXAAAACQEAAA8AAAAAAAAAAQAgAAAAIgAAAGRy&#10;cy9kb3ducmV2LnhtbFBLAQIUABQAAAAIAIdO4kBFp9/VzQEAAF8DAAAOAAAAAAAAAAEAIAAAACYB&#10;AABkcnMvZTJvRG9jLnhtbFBLBQYAAAAABgAGAFkBAABlBQAAAAA=&#10;">
                <v:fill on="f" focussize="0,0"/>
                <v:stroke weight="1.5pt" color="#FF0000" joinstyle="round"/>
                <v:imagedata o:title=""/>
                <o:lock v:ext="edit" aspectratio="f"/>
              </v:line>
            </w:pict>
          </mc:Fallback>
        </mc:AlternateContent>
      </w:r>
    </w:p>
    <w:p>
      <w:pPr>
        <w:spacing w:line="579" w:lineRule="exact"/>
        <w:jc w:val="center"/>
        <w:rPr>
          <w:rFonts w:ascii="黑体" w:hAnsi="黑体" w:eastAsia="黑体"/>
          <w:szCs w:val="32"/>
        </w:rPr>
      </w:pPr>
    </w:p>
    <w:p>
      <w:pPr>
        <w:spacing w:line="640" w:lineRule="exact"/>
        <w:jc w:val="center"/>
        <w:rPr>
          <w:rFonts w:hint="eastAsia" w:ascii="方正小标宋简体" w:hAnsi="黑体" w:eastAsia="方正小标宋简体" w:cs="Times New Roman"/>
          <w:sz w:val="44"/>
          <w:szCs w:val="44"/>
        </w:rPr>
      </w:pPr>
      <w:r>
        <w:rPr>
          <w:rFonts w:hint="eastAsia" w:ascii="方正小标宋简体" w:hAnsi="黑体" w:eastAsia="方正小标宋简体" w:cs="Times New Roman"/>
          <w:sz w:val="44"/>
          <w:szCs w:val="44"/>
        </w:rPr>
        <w:t>紫阳县教育体育和科技局</w:t>
      </w:r>
    </w:p>
    <w:p>
      <w:pPr>
        <w:spacing w:line="640" w:lineRule="exact"/>
        <w:jc w:val="center"/>
        <w:rPr>
          <w:rFonts w:hint="eastAsia" w:ascii="方正小标宋简体" w:hAnsi="黑体" w:eastAsia="方正小标宋简体" w:cs="Times New Roman"/>
          <w:sz w:val="44"/>
          <w:szCs w:val="44"/>
          <w:lang w:val="en-US" w:eastAsia="zh-CN"/>
        </w:rPr>
      </w:pPr>
      <w:r>
        <w:rPr>
          <w:rFonts w:hint="eastAsia" w:ascii="方正小标宋简体" w:hAnsi="黑体" w:eastAsia="方正小标宋简体" w:cs="Times New Roman"/>
          <w:sz w:val="44"/>
          <w:szCs w:val="44"/>
          <w:lang w:val="en-US" w:eastAsia="zh-CN"/>
        </w:rPr>
        <w:t>关于报送《紫阳县职业教育中心“十四五”</w:t>
      </w:r>
    </w:p>
    <w:p>
      <w:pPr>
        <w:spacing w:line="640" w:lineRule="exact"/>
        <w:jc w:val="center"/>
        <w:rPr>
          <w:rFonts w:hint="eastAsia" w:ascii="方正小标宋简体" w:hAnsi="黑体" w:eastAsia="方正小标宋简体" w:cs="Times New Roman"/>
          <w:sz w:val="44"/>
          <w:szCs w:val="44"/>
          <w:lang w:val="en-US" w:eastAsia="zh-CN"/>
        </w:rPr>
      </w:pPr>
      <w:r>
        <w:rPr>
          <w:rFonts w:hint="eastAsia" w:ascii="方正小标宋简体" w:hAnsi="黑体" w:eastAsia="方正小标宋简体" w:cs="Times New Roman"/>
          <w:sz w:val="44"/>
          <w:szCs w:val="44"/>
          <w:lang w:val="en-US" w:eastAsia="zh-CN"/>
        </w:rPr>
        <w:t>时期专业建设工作方案》的报告</w:t>
      </w:r>
    </w:p>
    <w:p>
      <w:pPr>
        <w:spacing w:line="579" w:lineRule="exact"/>
        <w:jc w:val="left"/>
        <w:rPr>
          <w:rFonts w:ascii="黑体" w:hAnsi="黑体" w:eastAsia="黑体"/>
          <w:szCs w:val="32"/>
        </w:rPr>
      </w:pPr>
    </w:p>
    <w:p>
      <w:pPr>
        <w:spacing w:line="579" w:lineRule="exact"/>
        <w:rPr>
          <w:rFonts w:hint="eastAsia" w:ascii="仿宋_GB2312" w:hAnsi="黑体"/>
          <w:szCs w:val="32"/>
        </w:rPr>
      </w:pPr>
      <w:r>
        <w:rPr>
          <w:rFonts w:hint="eastAsia" w:ascii="仿宋_GB2312" w:hAnsi="黑体"/>
          <w:szCs w:val="32"/>
          <w:lang w:val="en-US" w:eastAsia="zh-CN"/>
        </w:rPr>
        <w:t>市教体局</w:t>
      </w:r>
      <w:r>
        <w:rPr>
          <w:rFonts w:hint="eastAsia" w:ascii="仿宋_GB2312" w:hAnsi="黑体"/>
          <w:szCs w:val="32"/>
        </w:rPr>
        <w:t>：</w:t>
      </w:r>
    </w:p>
    <w:p>
      <w:pPr>
        <w:spacing w:line="579" w:lineRule="exact"/>
        <w:ind w:firstLine="632" w:firstLineChars="200"/>
        <w:rPr>
          <w:rFonts w:hint="eastAsia" w:ascii="仿宋_GB2312" w:hAnsi="黑体"/>
          <w:szCs w:val="32"/>
          <w:lang w:val="en-US" w:eastAsia="zh-CN"/>
        </w:rPr>
      </w:pPr>
      <w:r>
        <w:rPr>
          <w:rFonts w:hint="eastAsia" w:ascii="仿宋_GB2312" w:hAnsi="黑体"/>
          <w:szCs w:val="32"/>
          <w:lang w:val="en-US" w:eastAsia="zh-CN"/>
        </w:rPr>
        <w:t>现将《</w:t>
      </w:r>
      <w:r>
        <w:rPr>
          <w:rFonts w:hint="eastAsia" w:ascii="仿宋_GB2312" w:hAnsi="黑体"/>
          <w:szCs w:val="32"/>
        </w:rPr>
        <w:t>紫阳县职业教育中心“十四五”</w:t>
      </w:r>
      <w:r>
        <w:rPr>
          <w:rFonts w:hint="eastAsia" w:ascii="仿宋_GB2312" w:hAnsi="黑体"/>
          <w:szCs w:val="32"/>
          <w:lang w:val="en-US" w:eastAsia="zh-CN"/>
        </w:rPr>
        <w:t>时期</w:t>
      </w:r>
      <w:r>
        <w:rPr>
          <w:rFonts w:hint="eastAsia" w:ascii="仿宋_GB2312" w:hAnsi="黑体"/>
          <w:szCs w:val="32"/>
        </w:rPr>
        <w:t>专业建设</w:t>
      </w:r>
      <w:r>
        <w:rPr>
          <w:rFonts w:hint="eastAsia" w:ascii="仿宋_GB2312" w:hAnsi="黑体"/>
          <w:szCs w:val="32"/>
          <w:lang w:val="en-US" w:eastAsia="zh-CN"/>
        </w:rPr>
        <w:t>工作</w:t>
      </w:r>
      <w:r>
        <w:rPr>
          <w:rFonts w:hint="eastAsia" w:ascii="仿宋_GB2312" w:hAnsi="黑体"/>
          <w:szCs w:val="32"/>
        </w:rPr>
        <w:t>方案</w:t>
      </w:r>
      <w:r>
        <w:rPr>
          <w:rFonts w:hint="eastAsia" w:ascii="仿宋_GB2312" w:hAnsi="黑体"/>
          <w:szCs w:val="32"/>
          <w:lang w:val="en-US" w:eastAsia="zh-CN"/>
        </w:rPr>
        <w:t>》随文报来，请审示。</w:t>
      </w:r>
    </w:p>
    <w:p>
      <w:pPr>
        <w:spacing w:line="579" w:lineRule="exact"/>
        <w:ind w:firstLine="632" w:firstLineChars="200"/>
        <w:rPr>
          <w:rFonts w:hint="eastAsia" w:ascii="仿宋_GB2312" w:hAnsi="黑体"/>
          <w:szCs w:val="32"/>
          <w:lang w:val="en-US" w:eastAsia="zh-CN"/>
        </w:rPr>
      </w:pPr>
    </w:p>
    <w:p>
      <w:pPr>
        <w:spacing w:line="579" w:lineRule="exact"/>
        <w:ind w:firstLine="632" w:firstLineChars="200"/>
        <w:rPr>
          <w:rFonts w:hint="eastAsia" w:ascii="仿宋_GB2312" w:hAnsi="黑体"/>
          <w:szCs w:val="32"/>
        </w:rPr>
      </w:pPr>
      <w:r>
        <w:rPr>
          <w:rFonts w:hint="eastAsia" w:ascii="仿宋_GB2312" w:hAnsi="黑体"/>
          <w:szCs w:val="32"/>
          <w:lang w:val="en-US" w:eastAsia="zh-CN"/>
        </w:rPr>
        <w:t>附件：</w:t>
      </w:r>
      <w:r>
        <w:rPr>
          <w:rFonts w:hint="eastAsia" w:ascii="仿宋_GB2312" w:hAnsi="黑体"/>
          <w:szCs w:val="32"/>
        </w:rPr>
        <w:t>2020招生现有专业及拟新增专业</w:t>
      </w:r>
    </w:p>
    <w:p>
      <w:pPr>
        <w:spacing w:line="579" w:lineRule="exact"/>
        <w:jc w:val="left"/>
        <w:rPr>
          <w:rFonts w:ascii="仿宋_GB2312" w:hAnsi="黑体"/>
          <w:szCs w:val="32"/>
        </w:rPr>
      </w:pPr>
    </w:p>
    <w:p>
      <w:pPr>
        <w:spacing w:line="579" w:lineRule="exact"/>
        <w:jc w:val="left"/>
        <w:rPr>
          <w:rFonts w:hint="eastAsia" w:ascii="仿宋_GB2312" w:hAnsi="黑体" w:eastAsia="仿宋_GB2312"/>
          <w:szCs w:val="32"/>
          <w:lang w:eastAsia="zh-CN"/>
        </w:rPr>
      </w:pPr>
      <w:r>
        <w:rPr>
          <w:rFonts w:hint="eastAsia" w:ascii="仿宋_GB2312" w:hAnsi="黑体"/>
          <w:szCs w:val="32"/>
          <w:lang w:eastAsia="zh-CN"/>
        </w:rPr>
        <w:t>（此页无正文）</w:t>
      </w:r>
    </w:p>
    <w:p>
      <w:pPr>
        <w:spacing w:line="579" w:lineRule="exact"/>
        <w:jc w:val="left"/>
        <w:rPr>
          <w:rFonts w:ascii="仿宋_GB2312" w:hAnsi="黑体"/>
          <w:szCs w:val="32"/>
        </w:rPr>
      </w:pPr>
    </w:p>
    <w:p>
      <w:pPr>
        <w:spacing w:line="579" w:lineRule="exact"/>
        <w:jc w:val="left"/>
        <w:rPr>
          <w:rFonts w:ascii="仿宋_GB2312" w:hAnsi="黑体"/>
          <w:szCs w:val="32"/>
        </w:rPr>
      </w:pPr>
      <w:bookmarkStart w:id="0" w:name="_GoBack"/>
      <w:bookmarkEnd w:id="0"/>
    </w:p>
    <w:p>
      <w:pPr>
        <w:spacing w:line="579" w:lineRule="exact"/>
        <w:jc w:val="left"/>
        <w:rPr>
          <w:rFonts w:ascii="仿宋_GB2312" w:hAnsi="黑体"/>
          <w:szCs w:val="32"/>
        </w:rPr>
      </w:pPr>
    </w:p>
    <w:p>
      <w:pPr>
        <w:wordWrap w:val="0"/>
        <w:spacing w:line="579" w:lineRule="exact"/>
        <w:jc w:val="right"/>
        <w:rPr>
          <w:rFonts w:ascii="仿宋_GB2312" w:hAnsi="黑体"/>
          <w:szCs w:val="32"/>
        </w:rPr>
      </w:pPr>
      <w:r>
        <w:rPr>
          <w:rFonts w:hint="eastAsia" w:ascii="仿宋_GB2312" w:hAnsi="黑体"/>
          <w:szCs w:val="32"/>
        </w:rPr>
        <w:t xml:space="preserve">紫阳县教育体育和科技局        </w:t>
      </w:r>
    </w:p>
    <w:p>
      <w:pPr>
        <w:wordWrap w:val="0"/>
        <w:spacing w:line="579" w:lineRule="exact"/>
        <w:jc w:val="right"/>
        <w:rPr>
          <w:rFonts w:ascii="仿宋_GB2312" w:hAnsi="黑体"/>
          <w:szCs w:val="32"/>
        </w:rPr>
      </w:pPr>
      <w:r>
        <w:rPr>
          <w:rFonts w:hint="eastAsia" w:ascii="仿宋_GB2312" w:hAnsi="黑体"/>
          <w:szCs w:val="32"/>
          <w:lang w:eastAsia="zh-CN"/>
        </w:rPr>
        <w:t>2021</w:t>
      </w:r>
      <w:r>
        <w:rPr>
          <w:rFonts w:ascii="仿宋_GB2312" w:hAnsi="黑体"/>
          <w:szCs w:val="32"/>
        </w:rPr>
        <w:t>年</w:t>
      </w:r>
      <w:r>
        <w:rPr>
          <w:rFonts w:hint="eastAsia" w:ascii="仿宋_GB2312" w:hAnsi="黑体"/>
          <w:szCs w:val="32"/>
        </w:rPr>
        <w:t>12</w:t>
      </w:r>
      <w:r>
        <w:rPr>
          <w:rFonts w:ascii="仿宋_GB2312" w:hAnsi="黑体"/>
          <w:szCs w:val="32"/>
        </w:rPr>
        <w:t>月</w:t>
      </w:r>
      <w:r>
        <w:rPr>
          <w:rFonts w:hint="eastAsia" w:ascii="仿宋_GB2312" w:hAnsi="黑体"/>
          <w:szCs w:val="32"/>
          <w:lang w:val="en-US" w:eastAsia="zh-CN"/>
        </w:rPr>
        <w:t>6</w:t>
      </w:r>
      <w:r>
        <w:rPr>
          <w:rFonts w:ascii="仿宋_GB2312" w:hAnsi="黑体"/>
          <w:szCs w:val="32"/>
        </w:rPr>
        <w:t>日</w:t>
      </w:r>
      <w:r>
        <w:rPr>
          <w:rFonts w:hint="eastAsia" w:ascii="仿宋_GB2312" w:hAnsi="黑体"/>
          <w:szCs w:val="32"/>
        </w:rPr>
        <w:t xml:space="preserve">          </w:t>
      </w:r>
    </w:p>
    <w:p>
      <w:pPr>
        <w:spacing w:line="579" w:lineRule="exact"/>
        <w:jc w:val="left"/>
        <w:rPr>
          <w:rFonts w:ascii="仿宋_GB2312" w:hAnsi="黑体"/>
          <w:szCs w:val="32"/>
        </w:rPr>
      </w:pPr>
    </w:p>
    <w:p>
      <w:pPr>
        <w:spacing w:line="579" w:lineRule="exact"/>
        <w:jc w:val="left"/>
        <w:rPr>
          <w:rFonts w:ascii="仿宋_GB2312" w:hAnsi="黑体"/>
          <w:szCs w:val="32"/>
        </w:rPr>
      </w:pPr>
    </w:p>
    <w:p>
      <w:pPr>
        <w:spacing w:line="579" w:lineRule="exact"/>
        <w:jc w:val="left"/>
        <w:rPr>
          <w:rFonts w:ascii="仿宋_GB2312" w:hAnsi="黑体"/>
          <w:szCs w:val="32"/>
        </w:rPr>
      </w:pPr>
    </w:p>
    <w:p>
      <w:pPr>
        <w:spacing w:line="579" w:lineRule="exact"/>
        <w:jc w:val="left"/>
        <w:rPr>
          <w:rFonts w:ascii="仿宋_GB2312" w:hAnsi="黑体"/>
          <w:szCs w:val="32"/>
        </w:rPr>
      </w:pPr>
    </w:p>
    <w:p>
      <w:pPr>
        <w:spacing w:line="579" w:lineRule="exact"/>
        <w:jc w:val="left"/>
        <w:rPr>
          <w:rFonts w:ascii="仿宋_GB2312" w:hAnsi="黑体"/>
          <w:szCs w:val="32"/>
        </w:rPr>
      </w:pPr>
    </w:p>
    <w:p>
      <w:pPr>
        <w:spacing w:line="579" w:lineRule="exact"/>
        <w:jc w:val="left"/>
        <w:rPr>
          <w:rFonts w:ascii="仿宋_GB2312" w:hAnsi="黑体"/>
          <w:szCs w:val="32"/>
        </w:rPr>
      </w:pPr>
    </w:p>
    <w:p>
      <w:pPr>
        <w:spacing w:line="579" w:lineRule="exact"/>
        <w:jc w:val="left"/>
        <w:rPr>
          <w:rFonts w:ascii="仿宋_GB2312" w:hAnsi="黑体"/>
          <w:szCs w:val="32"/>
        </w:rPr>
      </w:pPr>
    </w:p>
    <w:p>
      <w:pPr>
        <w:spacing w:line="579" w:lineRule="exact"/>
        <w:jc w:val="left"/>
        <w:rPr>
          <w:rFonts w:hint="eastAsia" w:ascii="黑体" w:hAnsi="黑体" w:eastAsia="黑体"/>
          <w:sz w:val="28"/>
          <w:szCs w:val="28"/>
        </w:rPr>
      </w:pPr>
    </w:p>
    <w:p>
      <w:pPr>
        <w:spacing w:line="579" w:lineRule="exact"/>
        <w:jc w:val="left"/>
        <w:rPr>
          <w:rFonts w:hint="eastAsia" w:ascii="黑体" w:hAnsi="黑体" w:eastAsia="黑体"/>
          <w:sz w:val="28"/>
          <w:szCs w:val="28"/>
        </w:rPr>
      </w:pPr>
    </w:p>
    <w:p>
      <w:pPr>
        <w:spacing w:line="579" w:lineRule="exact"/>
        <w:jc w:val="left"/>
        <w:rPr>
          <w:rFonts w:hint="eastAsia" w:ascii="黑体" w:hAnsi="黑体" w:eastAsia="黑体"/>
          <w:sz w:val="28"/>
          <w:szCs w:val="28"/>
        </w:rPr>
      </w:pPr>
    </w:p>
    <w:p>
      <w:pPr>
        <w:spacing w:line="579" w:lineRule="exact"/>
        <w:jc w:val="left"/>
        <w:rPr>
          <w:rFonts w:hint="eastAsia" w:ascii="黑体" w:hAnsi="黑体" w:eastAsia="黑体"/>
          <w:sz w:val="28"/>
          <w:szCs w:val="28"/>
        </w:rPr>
      </w:pPr>
    </w:p>
    <w:p>
      <w:pPr>
        <w:spacing w:line="579" w:lineRule="exact"/>
        <w:jc w:val="left"/>
        <w:rPr>
          <w:rFonts w:hint="eastAsia" w:ascii="黑体" w:hAnsi="黑体" w:eastAsia="黑体"/>
          <w:sz w:val="28"/>
          <w:szCs w:val="28"/>
        </w:rPr>
      </w:pPr>
    </w:p>
    <w:p>
      <w:pPr>
        <w:spacing w:line="579" w:lineRule="exact"/>
        <w:jc w:val="left"/>
        <w:rPr>
          <w:rFonts w:hint="eastAsia" w:ascii="黑体" w:hAnsi="黑体" w:eastAsia="黑体"/>
          <w:sz w:val="28"/>
          <w:szCs w:val="28"/>
        </w:rPr>
      </w:pPr>
    </w:p>
    <w:p>
      <w:pPr>
        <w:spacing w:line="579" w:lineRule="exact"/>
        <w:jc w:val="left"/>
        <w:rPr>
          <w:rFonts w:hint="eastAsia" w:ascii="黑体" w:hAnsi="黑体" w:eastAsia="黑体"/>
          <w:sz w:val="28"/>
          <w:szCs w:val="28"/>
        </w:rPr>
      </w:pPr>
    </w:p>
    <w:p>
      <w:pPr>
        <w:spacing w:line="579" w:lineRule="exact"/>
        <w:jc w:val="left"/>
        <w:rPr>
          <w:rFonts w:hint="eastAsia" w:ascii="黑体" w:hAnsi="黑体" w:eastAsia="黑体"/>
          <w:sz w:val="28"/>
          <w:szCs w:val="28"/>
        </w:rPr>
      </w:pPr>
    </w:p>
    <w:p>
      <w:pPr>
        <w:spacing w:line="579" w:lineRule="exact"/>
        <w:jc w:val="left"/>
        <w:rPr>
          <w:rFonts w:hint="eastAsia" w:ascii="仿宋_GB2312" w:hAnsi="黑体"/>
          <w:sz w:val="28"/>
          <w:szCs w:val="28"/>
          <w:lang w:val="en-US" w:eastAsia="zh-CN"/>
        </w:rPr>
      </w:pPr>
      <w:r>
        <w:rPr>
          <w:rFonts w:eastAsia="楷体_GB2312"/>
          <w:sz w:val="30"/>
          <w:szCs w:val="30"/>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635</wp:posOffset>
                </wp:positionV>
                <wp:extent cx="5624195" cy="0"/>
                <wp:effectExtent l="0" t="0" r="14605" b="19050"/>
                <wp:wrapNone/>
                <wp:docPr id="15" name="直接连接符 15"/>
                <wp:cNvGraphicFramePr/>
                <a:graphic xmlns:a="http://schemas.openxmlformats.org/drawingml/2006/main">
                  <a:graphicData uri="http://schemas.microsoft.com/office/word/2010/wordprocessingShape">
                    <wps:wsp>
                      <wps:cNvCnPr/>
                      <wps:spPr>
                        <a:xfrm>
                          <a:off x="0" y="0"/>
                          <a:ext cx="562419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0.2pt;margin-top:0.05pt;height:0pt;width:442.85pt;z-index:251663360;mso-width-relative:page;mso-height-relative:page;" filled="f" stroked="t" coordsize="21600,21600" o:gfxdata="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6LCs00AAAAAMBAAAPAAAAAAAAAAEAIAAAACIAAABkcnMvZG93&#10;bnJldi54bWxQSwECFAAUAAAACACHTuJAEcQgzM8BAABwAwAADgAAAAAAAAABACAAAAAfAQAAZHJz&#10;L2Uyb0RvYy54bWxQSwUGAAAAAAYABgBZAQAAYAUAAAAA&#10;">
                <v:fill on="f" focussize="0,0"/>
                <v:stroke color="#000000" joinstyle="round"/>
                <v:imagedata o:title=""/>
                <o:lock v:ext="edit" aspectratio="f"/>
              </v:line>
            </w:pict>
          </mc:Fallback>
        </mc:AlternateContent>
      </w:r>
      <w:r>
        <w:rPr>
          <w:rFonts w:eastAsia="楷体_GB2312"/>
          <w:sz w:val="30"/>
          <w:szCs w:val="30"/>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374650</wp:posOffset>
                </wp:positionV>
                <wp:extent cx="5624195" cy="0"/>
                <wp:effectExtent l="0" t="0" r="14605" b="19050"/>
                <wp:wrapNone/>
                <wp:docPr id="14" name="直接连接符 14"/>
                <wp:cNvGraphicFramePr/>
                <a:graphic xmlns:a="http://schemas.openxmlformats.org/drawingml/2006/main">
                  <a:graphicData uri="http://schemas.microsoft.com/office/word/2010/wordprocessingShape">
                    <wps:wsp>
                      <wps:cNvCnPr/>
                      <wps:spPr>
                        <a:xfrm>
                          <a:off x="0" y="0"/>
                          <a:ext cx="562419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0.05pt;margin-top:29.5pt;height:0pt;width:442.85pt;z-index:251662336;mso-width-relative:page;mso-height-relative:page;" filled="f" stroked="t" coordsize="21600,21600" o:gfxdata="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&#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CiFE71AAAAAYBAAAPAAAAAAAAAAEAIAAAACIAAABk&#10;cnMvZG93bnJldi54bWxQSwECFAAUAAAACACHTuJAvZeBntEBAABxAwAADgAAAAAAAAABACAAAAAj&#10;AQAAZHJzL2Uyb0RvYy54bWxQSwUGAAAAAAYABgBZAQAAZgUAAAAA&#10;">
                <v:fill on="f" focussize="0,0"/>
                <v:stroke weight="1pt" color="#000000" joinstyle="round"/>
                <v:imagedata o:title=""/>
                <o:lock v:ext="edit" aspectratio="f"/>
              </v:line>
            </w:pict>
          </mc:Fallback>
        </mc:AlternateContent>
      </w:r>
      <w:r>
        <w:rPr>
          <w:rFonts w:hint="eastAsia" w:ascii="黑体" w:hAnsi="黑体" w:eastAsia="黑体"/>
          <w:sz w:val="28"/>
          <w:szCs w:val="28"/>
        </w:rPr>
        <w:t xml:space="preserve">  </w:t>
      </w:r>
      <w:r>
        <w:rPr>
          <w:rFonts w:hint="eastAsia" w:ascii="仿宋_GB2312" w:hAnsi="黑体"/>
          <w:sz w:val="28"/>
          <w:szCs w:val="28"/>
        </w:rPr>
        <w:t xml:space="preserve">紫阳县教育体育和科技局          </w:t>
      </w:r>
      <w:r>
        <w:rPr>
          <w:rFonts w:hint="eastAsia" w:ascii="仿宋_GB2312" w:hAnsi="黑体"/>
          <w:sz w:val="28"/>
          <w:szCs w:val="28"/>
          <w:lang w:val="en-US" w:eastAsia="zh-CN"/>
        </w:rPr>
        <w:t xml:space="preserve">   </w:t>
      </w:r>
      <w:r>
        <w:rPr>
          <w:rFonts w:hint="eastAsia" w:ascii="仿宋_GB2312" w:hAnsi="黑体"/>
          <w:sz w:val="28"/>
          <w:szCs w:val="28"/>
        </w:rPr>
        <w:t xml:space="preserve">       </w:t>
      </w:r>
      <w:r>
        <w:rPr>
          <w:rFonts w:hint="eastAsia" w:ascii="仿宋_GB2312" w:hAnsi="黑体"/>
          <w:sz w:val="28"/>
          <w:szCs w:val="28"/>
          <w:lang w:eastAsia="zh-CN"/>
        </w:rPr>
        <w:t>2021</w:t>
      </w:r>
      <w:r>
        <w:rPr>
          <w:rFonts w:ascii="仿宋_GB2312" w:hAnsi="黑体"/>
          <w:sz w:val="28"/>
          <w:szCs w:val="28"/>
        </w:rPr>
        <w:t>年</w:t>
      </w:r>
      <w:r>
        <w:rPr>
          <w:rFonts w:hint="eastAsia" w:ascii="仿宋_GB2312" w:hAnsi="黑体"/>
          <w:sz w:val="28"/>
          <w:szCs w:val="28"/>
        </w:rPr>
        <w:t>12</w:t>
      </w:r>
      <w:r>
        <w:rPr>
          <w:rFonts w:ascii="仿宋_GB2312" w:hAnsi="黑体"/>
          <w:sz w:val="28"/>
          <w:szCs w:val="28"/>
        </w:rPr>
        <w:t>月</w:t>
      </w:r>
      <w:r>
        <w:rPr>
          <w:rFonts w:hint="eastAsia" w:ascii="仿宋_GB2312" w:hAnsi="黑体"/>
          <w:sz w:val="28"/>
          <w:szCs w:val="28"/>
          <w:lang w:val="en-US" w:eastAsia="zh-CN"/>
        </w:rPr>
        <w:t>6</w:t>
      </w:r>
      <w:r>
        <w:rPr>
          <w:rFonts w:ascii="仿宋_GB2312" w:hAnsi="黑体"/>
          <w:sz w:val="28"/>
          <w:szCs w:val="28"/>
        </w:rPr>
        <w:t>日</w:t>
      </w:r>
      <w:r>
        <w:rPr>
          <w:rFonts w:hint="eastAsia" w:ascii="仿宋_GB2312" w:hAnsi="黑体"/>
          <w:sz w:val="28"/>
          <w:szCs w:val="28"/>
        </w:rPr>
        <w:t>印发</w:t>
      </w:r>
      <w:r>
        <w:rPr>
          <w:rFonts w:eastAsia="楷体_GB2312"/>
          <w:sz w:val="30"/>
          <w:szCs w:val="30"/>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635</wp:posOffset>
                </wp:positionV>
                <wp:extent cx="5624195" cy="0"/>
                <wp:effectExtent l="0" t="0" r="14605" b="19050"/>
                <wp:wrapNone/>
                <wp:docPr id="13" name="直接连接符 13"/>
                <wp:cNvGraphicFramePr/>
                <a:graphic xmlns:a="http://schemas.openxmlformats.org/drawingml/2006/main">
                  <a:graphicData uri="http://schemas.microsoft.com/office/word/2010/wordprocessingShape">
                    <wps:wsp>
                      <wps:cNvCnPr/>
                      <wps:spPr>
                        <a:xfrm>
                          <a:off x="0" y="0"/>
                          <a:ext cx="562419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0.2pt;margin-top:0.05pt;height:0pt;width:442.85pt;z-index:251661312;mso-width-relative:page;mso-height-relative:page;" filled="f" stroked="t" coordsize="21600,21600" o:gfxdata="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iwrNNAAAAADAQAADwAAAAAAAAABACAAAAAiAAAAZHJzL2Rv&#10;d25yZXYueG1sUEsBAhQAFAAAAAgAh07iQFH9CczQAQAAcAMAAA4AAAAAAAAAAQAgAAAAHwEAAGRy&#10;cy9lMm9Eb2MueG1sUEsFBgAAAAAGAAYAWQEAAGEFAAAAAA==&#10;">
                <v:fill on="f" focussize="0,0"/>
                <v:stroke color="#000000" joinstyle="round"/>
                <v:imagedata o:title=""/>
                <o:lock v:ext="edit" aspectratio="f"/>
              </v:line>
            </w:pict>
          </mc:Fallback>
        </mc:AlternateContent>
      </w:r>
      <w:r>
        <w:rPr>
          <w:rFonts w:eastAsia="楷体_GB2312"/>
          <w:sz w:val="30"/>
          <w:szCs w:val="3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374650</wp:posOffset>
                </wp:positionV>
                <wp:extent cx="5624195" cy="0"/>
                <wp:effectExtent l="0" t="0" r="14605" b="19050"/>
                <wp:wrapNone/>
                <wp:docPr id="12" name="直接连接符 12"/>
                <wp:cNvGraphicFramePr/>
                <a:graphic xmlns:a="http://schemas.openxmlformats.org/drawingml/2006/main">
                  <a:graphicData uri="http://schemas.microsoft.com/office/word/2010/wordprocessingShape">
                    <wps:wsp>
                      <wps:cNvCnPr/>
                      <wps:spPr>
                        <a:xfrm>
                          <a:off x="0" y="0"/>
                          <a:ext cx="562419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0.05pt;margin-top:29.5pt;height:0pt;width:442.85pt;z-index:251660288;mso-width-relative:page;mso-height-relative:page;" filled="f" stroked="t" coordsize="21600,21600" o:gfxdata="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&#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KIUTvUAAAABgEAAA8AAAAAAAAAAQAgAAAAIgAAAGRy&#10;cy9kb3ducmV2LnhtbFBLAQIUABQAAAAIAIdO4kAU/13o0AEAAHEDAAAOAAAAAAAAAAEAIAAAACMB&#10;AABkcnMvZTJvRG9jLnhtbFBLBQYAAAAABgAGAFkBAABlBQAAAAA=&#10;">
                <v:fill on="f" focussize="0,0"/>
                <v:stroke weight="1pt" color="#000000" joinstyle="round"/>
                <v:imagedata o:title=""/>
                <o:lock v:ext="edit" aspectratio="f"/>
              </v:line>
            </w:pict>
          </mc:Fallback>
        </mc:AlternateContent>
      </w:r>
      <w:r>
        <w:rPr>
          <w:rFonts w:hint="eastAsia" w:ascii="仿宋_GB2312" w:hAnsi="黑体"/>
          <w:sz w:val="28"/>
          <w:szCs w:val="28"/>
          <w:lang w:val="en-US" w:eastAsia="zh-CN"/>
        </w:rPr>
        <w:t xml:space="preserve">  </w:t>
      </w:r>
    </w:p>
    <w:p>
      <w:pPr>
        <w:spacing w:line="640" w:lineRule="exact"/>
        <w:jc w:val="center"/>
        <w:rPr>
          <w:rFonts w:hint="default" w:ascii="方正小标宋简体" w:hAnsi="黑体" w:eastAsia="方正小标宋简体" w:cs="Times New Roman"/>
          <w:sz w:val="44"/>
          <w:szCs w:val="44"/>
          <w:lang w:val="en-US" w:eastAsia="zh-CN"/>
        </w:rPr>
      </w:pPr>
      <w:r>
        <w:rPr>
          <w:rFonts w:hint="default" w:ascii="方正小标宋简体" w:hAnsi="黑体" w:eastAsia="方正小标宋简体" w:cs="Times New Roman"/>
          <w:sz w:val="44"/>
          <w:szCs w:val="44"/>
          <w:lang w:val="en-US" w:eastAsia="zh-CN"/>
        </w:rPr>
        <w:t>紫阳县职业教育中心</w:t>
      </w:r>
    </w:p>
    <w:p>
      <w:pPr>
        <w:spacing w:line="640" w:lineRule="exact"/>
        <w:jc w:val="center"/>
        <w:rPr>
          <w:rFonts w:hint="default" w:ascii="方正小标宋简体" w:hAnsi="黑体" w:eastAsia="方正小标宋简体" w:cs="Times New Roman"/>
          <w:sz w:val="44"/>
          <w:szCs w:val="44"/>
          <w:lang w:val="en-US" w:eastAsia="zh-CN"/>
        </w:rPr>
      </w:pPr>
      <w:r>
        <w:rPr>
          <w:rFonts w:hint="default" w:ascii="方正小标宋简体" w:hAnsi="黑体" w:eastAsia="方正小标宋简体" w:cs="Times New Roman"/>
          <w:sz w:val="44"/>
          <w:szCs w:val="44"/>
          <w:lang w:val="en-US" w:eastAsia="zh-CN"/>
        </w:rPr>
        <w:t>“十四五”时期专业建设工作方案</w:t>
      </w:r>
    </w:p>
    <w:p>
      <w:pPr>
        <w:spacing w:line="579" w:lineRule="exact"/>
        <w:jc w:val="left"/>
        <w:rPr>
          <w:rFonts w:hint="default" w:ascii="仿宋_GB2312" w:hAnsi="黑体"/>
          <w:sz w:val="28"/>
          <w:szCs w:val="28"/>
          <w:lang w:val="en-US" w:eastAsia="zh-CN"/>
        </w:rPr>
      </w:pPr>
    </w:p>
    <w:p>
      <w:pPr>
        <w:spacing w:line="579" w:lineRule="exact"/>
        <w:ind w:firstLine="632" w:firstLineChars="200"/>
        <w:rPr>
          <w:rFonts w:hint="default" w:ascii="仿宋_GB2312" w:hAnsi="黑体" w:cs="Times New Roman"/>
          <w:szCs w:val="32"/>
          <w:lang w:val="en-US" w:eastAsia="zh-CN"/>
        </w:rPr>
      </w:pPr>
      <w:r>
        <w:rPr>
          <w:rFonts w:hint="default" w:ascii="仿宋_GB2312" w:hAnsi="黑体" w:cs="Times New Roman"/>
          <w:szCs w:val="32"/>
          <w:lang w:val="en-US" w:eastAsia="zh-CN"/>
        </w:rPr>
        <w:t>为切实贯彻落实国家、省、市中长期教育改革和发展规划纲要，不断提高职业学校专业建设整体水平，强化办学特色，提高教育教学质量，特制定我校“十四五”时期专业建设工作方案。</w:t>
      </w:r>
    </w:p>
    <w:p>
      <w:pPr>
        <w:spacing w:line="579" w:lineRule="exact"/>
        <w:ind w:firstLine="632"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spacing w:line="579" w:lineRule="exact"/>
        <w:ind w:firstLine="632" w:firstLineChars="200"/>
        <w:rPr>
          <w:rFonts w:hint="default" w:ascii="仿宋_GB2312" w:hAnsi="黑体" w:cs="Times New Roman"/>
          <w:szCs w:val="32"/>
          <w:lang w:val="en-US" w:eastAsia="zh-CN"/>
        </w:rPr>
      </w:pPr>
      <w:r>
        <w:rPr>
          <w:rFonts w:hint="default" w:ascii="仿宋_GB2312" w:hAnsi="黑体" w:cs="Times New Roman"/>
          <w:szCs w:val="32"/>
          <w:lang w:val="en-US" w:eastAsia="zh-CN"/>
        </w:rPr>
        <w:t>以习近平新时代中国特色社会主义思想为指导，贯彻落实党的十九大和十九届二中、三中、四中、五中全会精神，贯彻落实习近平总书记关于教育的重要论述和全国教育大会精神，全面贯彻落实党和国家的教育方针，落实立德树人根本任务，遵循教育规律，适应国家经济建设和社会发展的需要、促进职业学校的专业设置与地方经济和社会发展的实际需要紧密结合，培养出能力强、素质高、面向生产、服务一线具有创新精神和实践能力的高素质技能型人才、全面提高办学质量、效益和水平，强化办学特色。</w:t>
      </w:r>
    </w:p>
    <w:p>
      <w:pPr>
        <w:spacing w:line="579" w:lineRule="exact"/>
        <w:ind w:firstLine="632" w:firstLineChars="20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二、组织机构</w:t>
      </w:r>
    </w:p>
    <w:p>
      <w:pPr>
        <w:spacing w:line="579" w:lineRule="exact"/>
        <w:ind w:firstLine="632" w:firstLineChars="200"/>
        <w:rPr>
          <w:rFonts w:hint="default" w:ascii="仿宋_GB2312" w:hAnsi="黑体" w:cs="Times New Roman"/>
          <w:szCs w:val="32"/>
          <w:lang w:val="en-US" w:eastAsia="zh-CN"/>
        </w:rPr>
      </w:pPr>
      <w:r>
        <w:rPr>
          <w:rFonts w:hint="default" w:ascii="仿宋_GB2312" w:hAnsi="黑体" w:cs="Times New Roman"/>
          <w:szCs w:val="32"/>
          <w:lang w:val="en-US" w:eastAsia="zh-CN"/>
        </w:rPr>
        <w:t>（一）专业建设领导小组组成人员：学校专业建设领导小组由分管教学副校长、教务主任和有关专家组成；其成员由专业骨干教师2～4人组成。</w:t>
      </w:r>
    </w:p>
    <w:p>
      <w:pPr>
        <w:spacing w:line="579" w:lineRule="exact"/>
        <w:ind w:firstLine="632" w:firstLineChars="200"/>
        <w:rPr>
          <w:rFonts w:hint="default" w:ascii="仿宋_GB2312" w:hAnsi="黑体" w:cs="Times New Roman"/>
          <w:szCs w:val="32"/>
          <w:lang w:val="en-US" w:eastAsia="zh-CN"/>
        </w:rPr>
      </w:pPr>
      <w:r>
        <w:rPr>
          <w:rFonts w:hint="default" w:ascii="仿宋_GB2312" w:hAnsi="黑体" w:cs="Times New Roman"/>
          <w:szCs w:val="32"/>
          <w:lang w:val="en-US" w:eastAsia="zh-CN"/>
        </w:rPr>
        <w:t>（二）专业建设领导小组职责</w:t>
      </w:r>
    </w:p>
    <w:p>
      <w:pPr>
        <w:spacing w:line="579" w:lineRule="exact"/>
        <w:ind w:firstLine="632" w:firstLineChars="200"/>
        <w:rPr>
          <w:rFonts w:hint="default" w:ascii="仿宋_GB2312" w:hAnsi="黑体" w:cs="Times New Roman"/>
          <w:szCs w:val="32"/>
          <w:lang w:val="en-US" w:eastAsia="zh-CN"/>
        </w:rPr>
      </w:pPr>
      <w:r>
        <w:rPr>
          <w:rFonts w:hint="default" w:ascii="仿宋_GB2312" w:hAnsi="黑体" w:cs="Times New Roman"/>
          <w:szCs w:val="32"/>
          <w:lang w:val="en-US" w:eastAsia="zh-CN"/>
        </w:rPr>
        <w:t>1.明确专业建设目标和专业建设近、中、远期目标规划，并分解为课程教学改革的具体目标。根据社会需求进行专业建设调整，根据培养目标设置调整专业课程体系。</w:t>
      </w:r>
    </w:p>
    <w:p>
      <w:pPr>
        <w:spacing w:line="579" w:lineRule="exact"/>
        <w:ind w:firstLine="632" w:firstLineChars="200"/>
        <w:rPr>
          <w:rFonts w:hint="default" w:ascii="仿宋_GB2312" w:hAnsi="黑体" w:cs="Times New Roman"/>
          <w:szCs w:val="32"/>
          <w:lang w:val="en-US" w:eastAsia="zh-CN"/>
        </w:rPr>
      </w:pPr>
      <w:r>
        <w:rPr>
          <w:rFonts w:hint="default" w:ascii="仿宋_GB2312" w:hAnsi="黑体" w:cs="Times New Roman"/>
          <w:szCs w:val="32"/>
          <w:lang w:val="en-US" w:eastAsia="zh-CN"/>
        </w:rPr>
        <w:t>2.对专业建设文件（档案）材料进行建档管理。</w:t>
      </w:r>
    </w:p>
    <w:p>
      <w:pPr>
        <w:spacing w:line="579" w:lineRule="exact"/>
        <w:ind w:firstLine="632" w:firstLineChars="200"/>
        <w:rPr>
          <w:rFonts w:hint="default" w:ascii="仿宋_GB2312" w:hAnsi="黑体" w:cs="Times New Roman"/>
          <w:szCs w:val="32"/>
          <w:lang w:val="en-US" w:eastAsia="zh-CN"/>
        </w:rPr>
      </w:pPr>
      <w:r>
        <w:rPr>
          <w:rFonts w:hint="default" w:ascii="仿宋_GB2312" w:hAnsi="黑体" w:cs="Times New Roman"/>
          <w:szCs w:val="32"/>
          <w:lang w:val="en-US" w:eastAsia="zh-CN"/>
        </w:rPr>
        <w:t>3.组织专家对专业建设领导小组的工作进行检查和评估。</w:t>
      </w:r>
    </w:p>
    <w:p>
      <w:pPr>
        <w:spacing w:line="579" w:lineRule="exact"/>
        <w:ind w:firstLine="632" w:firstLineChars="200"/>
        <w:rPr>
          <w:rFonts w:hint="default" w:ascii="仿宋_GB2312" w:hAnsi="黑体" w:cs="Times New Roman"/>
          <w:szCs w:val="32"/>
          <w:lang w:val="en-US" w:eastAsia="zh-CN"/>
        </w:rPr>
      </w:pPr>
      <w:r>
        <w:rPr>
          <w:rFonts w:hint="default" w:ascii="仿宋_GB2312" w:hAnsi="黑体" w:cs="Times New Roman"/>
          <w:szCs w:val="32"/>
          <w:lang w:val="en-US" w:eastAsia="zh-CN"/>
        </w:rPr>
        <w:t>4.负责制定和实施专业建设的规划，对教学内容、教学方法、教学手段和实践教学环节等方面进行全面总结，并结合实际情况，修改完善建设方案。</w:t>
      </w:r>
    </w:p>
    <w:p>
      <w:pPr>
        <w:spacing w:line="579" w:lineRule="exact"/>
        <w:ind w:firstLine="632" w:firstLineChars="20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三、工作措施</w:t>
      </w:r>
    </w:p>
    <w:p>
      <w:pPr>
        <w:spacing w:line="579" w:lineRule="exact"/>
        <w:ind w:firstLine="632" w:firstLineChars="200"/>
        <w:rPr>
          <w:rFonts w:hint="default" w:ascii="仿宋_GB2312" w:hAnsi="黑体" w:cs="Times New Roman"/>
          <w:szCs w:val="32"/>
          <w:lang w:val="en-US" w:eastAsia="zh-CN"/>
        </w:rPr>
      </w:pPr>
      <w:r>
        <w:rPr>
          <w:rFonts w:hint="default" w:ascii="仿宋_GB2312" w:hAnsi="黑体" w:cs="Times New Roman"/>
          <w:szCs w:val="32"/>
          <w:lang w:val="en-US" w:eastAsia="zh-CN"/>
        </w:rPr>
        <w:t>（一）强化专业建设。结合职业教育发展特点、就业市场变化、自身条件等因素确定学校目标定位和专业发展方向，规划专业布局，采取有力措施，切实推进学校的专业建设。</w:t>
      </w:r>
    </w:p>
    <w:p>
      <w:pPr>
        <w:spacing w:line="579" w:lineRule="exact"/>
        <w:ind w:firstLine="632" w:firstLineChars="200"/>
        <w:rPr>
          <w:rFonts w:hint="default" w:ascii="仿宋_GB2312" w:hAnsi="黑体" w:cs="Times New Roman"/>
          <w:szCs w:val="32"/>
          <w:lang w:val="en-US" w:eastAsia="zh-CN"/>
        </w:rPr>
      </w:pPr>
      <w:r>
        <w:rPr>
          <w:rFonts w:hint="default" w:ascii="仿宋_GB2312" w:hAnsi="黑体" w:cs="Times New Roman"/>
          <w:szCs w:val="32"/>
          <w:lang w:val="en-US" w:eastAsia="zh-CN"/>
        </w:rPr>
        <w:t>（二）定期开展专业建设评估。积极培育、创建新品牌专业、强势专业、特色专业，促使学校专业的提升、发展和完善，创造条件开设社会需求大、市场潜力大的专业，并定期开展评估。</w:t>
      </w:r>
    </w:p>
    <w:p>
      <w:pPr>
        <w:spacing w:line="579" w:lineRule="exact"/>
        <w:ind w:firstLine="632" w:firstLineChars="200"/>
        <w:rPr>
          <w:rFonts w:hint="default" w:ascii="仿宋_GB2312" w:hAnsi="黑体" w:cs="Times New Roman"/>
          <w:szCs w:val="32"/>
          <w:lang w:val="en-US" w:eastAsia="zh-CN"/>
        </w:rPr>
      </w:pPr>
      <w:r>
        <w:rPr>
          <w:rFonts w:hint="default" w:ascii="仿宋_GB2312" w:hAnsi="黑体" w:cs="Times New Roman"/>
          <w:szCs w:val="32"/>
          <w:lang w:val="en-US" w:eastAsia="zh-CN"/>
        </w:rPr>
        <w:t>（三）加大对专业建设的投入。学校每年从经费中划出一定数额的专业建设专项经费用于支持专业建设，积极采取多种渠道筹措专业建设经费，用于师资队伍建设、实验实习设备建设、基地建设、课程开发和教材建设。</w:t>
      </w:r>
    </w:p>
    <w:p>
      <w:pPr>
        <w:spacing w:line="579" w:lineRule="exact"/>
        <w:ind w:firstLine="632" w:firstLineChars="200"/>
        <w:rPr>
          <w:rFonts w:hint="default" w:ascii="仿宋_GB2312" w:hAnsi="黑体" w:cs="Times New Roman"/>
          <w:szCs w:val="32"/>
          <w:lang w:val="en-US" w:eastAsia="zh-CN"/>
        </w:rPr>
      </w:pPr>
      <w:r>
        <w:rPr>
          <w:rFonts w:hint="default" w:ascii="仿宋_GB2312" w:hAnsi="黑体" w:cs="Times New Roman"/>
          <w:szCs w:val="32"/>
          <w:lang w:val="en-US" w:eastAsia="zh-CN"/>
        </w:rPr>
        <w:t>（四）建立专业建设的奖励制度。为鼓励专业建设，对学校所属的重点专业和品牌、特色专业，给予一定的奖励，对专业建设做出重大贡献的学校领导和教师给予各种形式的表彰奖励。</w:t>
      </w:r>
    </w:p>
    <w:p>
      <w:pPr>
        <w:spacing w:line="579" w:lineRule="exact"/>
        <w:ind w:firstLine="632" w:firstLineChars="20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四、专业建设</w:t>
      </w:r>
    </w:p>
    <w:p>
      <w:pPr>
        <w:spacing w:line="579" w:lineRule="exact"/>
        <w:ind w:firstLine="632" w:firstLineChars="200"/>
        <w:rPr>
          <w:rFonts w:hint="default" w:ascii="仿宋_GB2312" w:hAnsi="黑体" w:cs="Times New Roman"/>
          <w:szCs w:val="32"/>
          <w:lang w:val="en-US" w:eastAsia="zh-CN"/>
        </w:rPr>
      </w:pPr>
      <w:r>
        <w:rPr>
          <w:rFonts w:hint="default" w:ascii="仿宋_GB2312" w:hAnsi="黑体" w:cs="Times New Roman"/>
          <w:szCs w:val="32"/>
          <w:lang w:val="en-US" w:eastAsia="zh-CN"/>
        </w:rPr>
        <w:t>（一）建设原则：坚持优化专业结构和提高专业质量相结合的原则,坚持可持续发展的原则,坚持重点与普及相结合的原则。</w:t>
      </w:r>
    </w:p>
    <w:p>
      <w:pPr>
        <w:spacing w:line="579" w:lineRule="exact"/>
        <w:ind w:firstLine="632" w:firstLineChars="200"/>
        <w:rPr>
          <w:rFonts w:hint="default" w:ascii="仿宋_GB2312" w:hAnsi="黑体" w:cs="Times New Roman"/>
          <w:szCs w:val="32"/>
          <w:lang w:val="en-US" w:eastAsia="zh-CN"/>
        </w:rPr>
      </w:pPr>
      <w:r>
        <w:rPr>
          <w:rFonts w:hint="default" w:ascii="仿宋_GB2312" w:hAnsi="黑体" w:cs="Times New Roman"/>
          <w:szCs w:val="32"/>
          <w:lang w:val="en-US" w:eastAsia="zh-CN"/>
        </w:rPr>
        <w:t>（二）建设目标：通过重点发展专业建设，进一步优化我校专业结构，提升专业建设整体水平，提高人才培养质量、办学效益和竞争力。</w:t>
      </w:r>
    </w:p>
    <w:p>
      <w:pPr>
        <w:spacing w:line="579" w:lineRule="exact"/>
        <w:ind w:firstLine="632" w:firstLineChars="200"/>
        <w:rPr>
          <w:rFonts w:hint="default" w:ascii="仿宋_GB2312" w:hAnsi="黑体" w:cs="Times New Roman"/>
          <w:szCs w:val="32"/>
          <w:lang w:val="en-US" w:eastAsia="zh-CN"/>
        </w:rPr>
      </w:pPr>
      <w:r>
        <w:rPr>
          <w:rFonts w:hint="default" w:ascii="仿宋_GB2312" w:hAnsi="黑体" w:cs="Times New Roman"/>
          <w:szCs w:val="32"/>
          <w:lang w:val="en-US" w:eastAsia="zh-CN"/>
        </w:rPr>
        <w:t>（三）建设标准：师资队伍年龄结构、学历结构、职称结构合理，综合素质水平较高；有较好的办学条件和先进的教学手段；教学过程规范，专业改革力度大，教学改革成果显著；学术水平较高，学生创新能力强，教学质量高；专业特色鲜明，毕业生就业率高，社会声誉好。</w:t>
      </w:r>
    </w:p>
    <w:p>
      <w:pPr>
        <w:spacing w:line="579" w:lineRule="exact"/>
        <w:ind w:firstLine="632" w:firstLineChars="200"/>
        <w:rPr>
          <w:rFonts w:hint="default" w:ascii="仿宋_GB2312" w:hAnsi="黑体" w:cs="Times New Roman"/>
          <w:szCs w:val="32"/>
          <w:lang w:val="en-US" w:eastAsia="zh-CN"/>
        </w:rPr>
      </w:pPr>
      <w:r>
        <w:rPr>
          <w:rFonts w:hint="default" w:ascii="仿宋_GB2312" w:hAnsi="黑体" w:cs="Times New Roman"/>
          <w:szCs w:val="32"/>
          <w:lang w:val="en-US" w:eastAsia="zh-CN"/>
        </w:rPr>
        <w:t>（四）建设类别：计算机应用类专业，茶叶生产与加工专业，康养和美发与形象设计类、服务类专业，社区服务和环保专业。</w:t>
      </w:r>
    </w:p>
    <w:p>
      <w:pPr>
        <w:spacing w:line="579" w:lineRule="exact"/>
        <w:ind w:firstLine="632" w:firstLineChars="200"/>
        <w:rPr>
          <w:rFonts w:hint="default" w:ascii="仿宋_GB2312" w:hAnsi="黑体" w:cs="Times New Roman"/>
          <w:szCs w:val="32"/>
          <w:lang w:val="en-US" w:eastAsia="zh-CN"/>
        </w:rPr>
      </w:pPr>
      <w:r>
        <w:rPr>
          <w:rFonts w:hint="default" w:ascii="仿宋_GB2312" w:hAnsi="黑体" w:cs="Times New Roman"/>
          <w:szCs w:val="32"/>
          <w:lang w:val="en-US" w:eastAsia="zh-CN"/>
        </w:rPr>
        <w:t>（五）建设内容:主要围绕专业核心课程、重点教材、教学方法与培养模式进行建设，引进高水平原版教材和自编学生参考学习材料；开展实践教学基地建设；组织高水平学术讲座；课堂教学设备购置。2019年建成美发与形象设计专业，目前该专业人数达3百余人，校企深度合作。康复保健类专业2020年建成，与西安海棠职业技术学院合作，目前改专业110人，两个服务类专业特色明显。</w:t>
      </w:r>
    </w:p>
    <w:p>
      <w:pPr>
        <w:spacing w:line="580" w:lineRule="exact"/>
        <w:jc w:val="both"/>
        <w:rPr>
          <w:rFonts w:hint="eastAsia" w:ascii="仿宋_GB2312" w:hAnsi="仿宋_GB2312" w:eastAsia="仿宋_GB2312" w:cs="仿宋_GB2312"/>
          <w:color w:val="000000"/>
          <w:kern w:val="0"/>
          <w:sz w:val="32"/>
          <w:szCs w:val="32"/>
          <w:lang w:val="en-US" w:eastAsia="zh-CN"/>
        </w:rPr>
      </w:pPr>
    </w:p>
    <w:p>
      <w:pPr>
        <w:spacing w:line="580" w:lineRule="exact"/>
        <w:jc w:val="both"/>
        <w:rPr>
          <w:rFonts w:hint="eastAsia" w:ascii="仿宋_GB2312" w:hAnsi="仿宋_GB2312" w:eastAsia="仿宋_GB2312" w:cs="仿宋_GB2312"/>
          <w:color w:val="000000"/>
          <w:kern w:val="0"/>
          <w:sz w:val="32"/>
          <w:szCs w:val="32"/>
          <w:lang w:val="en-US" w:eastAsia="zh-CN"/>
        </w:rPr>
      </w:pPr>
    </w:p>
    <w:p>
      <w:pPr>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附件：</w:t>
      </w:r>
      <w:r>
        <w:rPr>
          <w:rFonts w:hint="eastAsia" w:ascii="仿宋_GB2312" w:hAnsi="仿宋_GB2312" w:eastAsia="仿宋_GB2312" w:cs="仿宋_GB2312"/>
          <w:color w:val="000000"/>
          <w:kern w:val="0"/>
          <w:sz w:val="32"/>
          <w:szCs w:val="32"/>
        </w:rPr>
        <w:t> 2020招生现有专业及拟新增专业</w:t>
      </w:r>
    </w:p>
    <w:tbl>
      <w:tblPr>
        <w:tblStyle w:val="6"/>
        <w:tblpPr w:leftFromText="180" w:rightFromText="180" w:vertAnchor="page" w:horzAnchor="page" w:tblpX="1846" w:tblpY="2980"/>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1570"/>
        <w:gridCol w:w="1141"/>
        <w:gridCol w:w="1000"/>
        <w:gridCol w:w="856"/>
        <w:gridCol w:w="1142"/>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9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学校名称</w:t>
            </w:r>
          </w:p>
        </w:tc>
        <w:tc>
          <w:tcPr>
            <w:tcW w:w="15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专业名称</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专业代码</w:t>
            </w:r>
          </w:p>
        </w:tc>
        <w:tc>
          <w:tcPr>
            <w:tcW w:w="10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首次招</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生年份</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转设专业名称</w:t>
            </w: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是否</w:t>
            </w:r>
          </w:p>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新增专业</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9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紫阳县职业教育中心</w:t>
            </w:r>
          </w:p>
        </w:tc>
        <w:tc>
          <w:tcPr>
            <w:tcW w:w="1570"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计算机应用</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710201</w:t>
            </w:r>
          </w:p>
        </w:tc>
        <w:tc>
          <w:tcPr>
            <w:tcW w:w="10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2000</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否</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紫阳县职业教育中心</w:t>
            </w:r>
          </w:p>
        </w:tc>
        <w:tc>
          <w:tcPr>
            <w:tcW w:w="1570"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美发与形象设计</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750110</w:t>
            </w:r>
          </w:p>
        </w:tc>
        <w:tc>
          <w:tcPr>
            <w:tcW w:w="10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2019</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否</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紫阳县职业教育中心</w:t>
            </w:r>
          </w:p>
        </w:tc>
        <w:tc>
          <w:tcPr>
            <w:tcW w:w="1570"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计算机平面设计</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710210</w:t>
            </w:r>
          </w:p>
        </w:tc>
        <w:tc>
          <w:tcPr>
            <w:tcW w:w="10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2009</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否</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紫阳县职业教育中心</w:t>
            </w:r>
          </w:p>
        </w:tc>
        <w:tc>
          <w:tcPr>
            <w:tcW w:w="1570"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电子技术应用</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710103</w:t>
            </w:r>
          </w:p>
        </w:tc>
        <w:tc>
          <w:tcPr>
            <w:tcW w:w="10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2009</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否</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紫阳县职业教育中心</w:t>
            </w:r>
          </w:p>
        </w:tc>
        <w:tc>
          <w:tcPr>
            <w:tcW w:w="1570"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幼儿保育</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770101</w:t>
            </w:r>
          </w:p>
        </w:tc>
        <w:tc>
          <w:tcPr>
            <w:tcW w:w="10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2019</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学前</w:t>
            </w:r>
          </w:p>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教育</w:t>
            </w: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否</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9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紫阳县职业教育中心</w:t>
            </w:r>
          </w:p>
        </w:tc>
        <w:tc>
          <w:tcPr>
            <w:tcW w:w="1570"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茶叶生产与加工</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610107</w:t>
            </w:r>
          </w:p>
        </w:tc>
        <w:tc>
          <w:tcPr>
            <w:tcW w:w="10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2011</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否</w:t>
            </w:r>
          </w:p>
        </w:tc>
        <w:tc>
          <w:tcPr>
            <w:tcW w:w="714"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紫阳县职业教育中心</w:t>
            </w:r>
          </w:p>
        </w:tc>
        <w:tc>
          <w:tcPr>
            <w:tcW w:w="1570"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中医康复保健</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zh-CN"/>
              </w:rPr>
              <w:t>720408</w:t>
            </w:r>
          </w:p>
        </w:tc>
        <w:tc>
          <w:tcPr>
            <w:tcW w:w="10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2020</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否</w:t>
            </w:r>
          </w:p>
        </w:tc>
        <w:tc>
          <w:tcPr>
            <w:tcW w:w="714"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9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紫阳县职业教育中心</w:t>
            </w:r>
          </w:p>
        </w:tc>
        <w:tc>
          <w:tcPr>
            <w:tcW w:w="1570"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电子商务</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730701</w:t>
            </w:r>
          </w:p>
        </w:tc>
        <w:tc>
          <w:tcPr>
            <w:tcW w:w="10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2009</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否</w:t>
            </w:r>
          </w:p>
        </w:tc>
        <w:tc>
          <w:tcPr>
            <w:tcW w:w="714"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仿宋_GB2312" w:hAnsi="仿宋_GB2312" w:eastAsia="仿宋_GB2312" w:cs="仿宋_GB2312"/>
                <w:kern w:val="0"/>
                <w:sz w:val="18"/>
                <w:szCs w:val="18"/>
              </w:rPr>
            </w:pPr>
          </w:p>
        </w:tc>
      </w:tr>
    </w:tbl>
    <w:p>
      <w:pPr>
        <w:spacing w:line="580" w:lineRule="exact"/>
        <w:jc w:val="both"/>
        <w:rPr>
          <w:rFonts w:hint="eastAsia" w:ascii="仿宋_GB2312" w:hAnsi="仿宋_GB2312" w:eastAsia="仿宋_GB2312" w:cs="仿宋_GB2312"/>
          <w:color w:val="000000"/>
          <w:kern w:val="0"/>
          <w:sz w:val="32"/>
          <w:szCs w:val="32"/>
        </w:rPr>
      </w:pPr>
    </w:p>
    <w:p>
      <w:pPr>
        <w:spacing w:line="579" w:lineRule="exact"/>
        <w:jc w:val="left"/>
        <w:rPr>
          <w:rFonts w:hint="default" w:ascii="仿宋_GB2312" w:hAnsi="黑体"/>
          <w:sz w:val="28"/>
          <w:szCs w:val="28"/>
          <w:lang w:val="en-US" w:eastAsia="zh-CN"/>
        </w:rPr>
      </w:pPr>
    </w:p>
    <w:sectPr>
      <w:footerReference r:id="rId3" w:type="default"/>
      <w:footerReference r:id="rId4" w:type="even"/>
      <w:pgSz w:w="11906" w:h="16838"/>
      <w:pgMar w:top="2098" w:right="1474" w:bottom="1985" w:left="1588" w:header="851" w:footer="1247" w:gutter="0"/>
      <w:pgNumType w:fmt="numberInDash"/>
      <w:cols w:space="425"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1432"/>
      <w:docPartObj>
        <w:docPartGallery w:val="autotext"/>
      </w:docPartObj>
    </w:sdtPr>
    <w:sdtEndPr>
      <w:rPr>
        <w:rFonts w:asciiTheme="minorEastAsia" w:hAnsiTheme="minorEastAsia" w:eastAsiaTheme="minorEastAsia"/>
        <w:sz w:val="28"/>
        <w:szCs w:val="28"/>
      </w:rPr>
    </w:sdtEndPr>
    <w:sdtContent>
      <w:p>
        <w:pPr>
          <w:pStyle w:val="3"/>
          <w:ind w:right="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082160"/>
      <w:docPartObj>
        <w:docPartGallery w:val="autotext"/>
      </w:docPartObj>
    </w:sdtPr>
    <w:sdtEndPr>
      <w:rPr>
        <w:rFonts w:asciiTheme="minorEastAsia" w:hAnsiTheme="minorEastAsia" w:eastAsiaTheme="minorEastAsia"/>
        <w:sz w:val="28"/>
        <w:szCs w:val="28"/>
      </w:rPr>
    </w:sdtEndPr>
    <w:sdtContent>
      <w:p>
        <w:pPr>
          <w:pStyle w:val="3"/>
          <w:ind w:firstLine="360" w:firstLineChars="20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val="1"/>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B4"/>
    <w:rsid w:val="00040499"/>
    <w:rsid w:val="000649F5"/>
    <w:rsid w:val="00071EDF"/>
    <w:rsid w:val="000C013C"/>
    <w:rsid w:val="00107FC3"/>
    <w:rsid w:val="00114751"/>
    <w:rsid w:val="0012058D"/>
    <w:rsid w:val="001236F3"/>
    <w:rsid w:val="00134D15"/>
    <w:rsid w:val="00160948"/>
    <w:rsid w:val="001728A2"/>
    <w:rsid w:val="001758FE"/>
    <w:rsid w:val="001B4ED4"/>
    <w:rsid w:val="001F2C4F"/>
    <w:rsid w:val="0024757D"/>
    <w:rsid w:val="00265C42"/>
    <w:rsid w:val="002767CE"/>
    <w:rsid w:val="00287F1B"/>
    <w:rsid w:val="00314195"/>
    <w:rsid w:val="003E376F"/>
    <w:rsid w:val="00425885"/>
    <w:rsid w:val="00467F44"/>
    <w:rsid w:val="00497C2E"/>
    <w:rsid w:val="004B7E05"/>
    <w:rsid w:val="004E5C24"/>
    <w:rsid w:val="004E67E7"/>
    <w:rsid w:val="004F5E05"/>
    <w:rsid w:val="00524750"/>
    <w:rsid w:val="005313C8"/>
    <w:rsid w:val="005872D5"/>
    <w:rsid w:val="005B15A5"/>
    <w:rsid w:val="005C1723"/>
    <w:rsid w:val="005D0A68"/>
    <w:rsid w:val="005E08BC"/>
    <w:rsid w:val="006079AA"/>
    <w:rsid w:val="0064178F"/>
    <w:rsid w:val="006975DD"/>
    <w:rsid w:val="006F7EA9"/>
    <w:rsid w:val="00710E93"/>
    <w:rsid w:val="00746187"/>
    <w:rsid w:val="00760002"/>
    <w:rsid w:val="007B6DAD"/>
    <w:rsid w:val="00852663"/>
    <w:rsid w:val="00862CDB"/>
    <w:rsid w:val="00866D2F"/>
    <w:rsid w:val="008C6D28"/>
    <w:rsid w:val="008E0422"/>
    <w:rsid w:val="009122B3"/>
    <w:rsid w:val="00945E28"/>
    <w:rsid w:val="009C02EC"/>
    <w:rsid w:val="009E449B"/>
    <w:rsid w:val="00A15934"/>
    <w:rsid w:val="00A56A0C"/>
    <w:rsid w:val="00AB2690"/>
    <w:rsid w:val="00AB690E"/>
    <w:rsid w:val="00B002DC"/>
    <w:rsid w:val="00B2699C"/>
    <w:rsid w:val="00B372C6"/>
    <w:rsid w:val="00B84172"/>
    <w:rsid w:val="00B9609F"/>
    <w:rsid w:val="00B969F3"/>
    <w:rsid w:val="00BA7FB0"/>
    <w:rsid w:val="00BE7186"/>
    <w:rsid w:val="00BF2E93"/>
    <w:rsid w:val="00C05500"/>
    <w:rsid w:val="00C63DF4"/>
    <w:rsid w:val="00C644BC"/>
    <w:rsid w:val="00C65004"/>
    <w:rsid w:val="00C715AC"/>
    <w:rsid w:val="00C746B4"/>
    <w:rsid w:val="00CE2FEA"/>
    <w:rsid w:val="00D115B1"/>
    <w:rsid w:val="00D673F2"/>
    <w:rsid w:val="00DE332F"/>
    <w:rsid w:val="00F04DDB"/>
    <w:rsid w:val="00F51F93"/>
    <w:rsid w:val="00F5656B"/>
    <w:rsid w:val="00F6257C"/>
    <w:rsid w:val="00FD4C7A"/>
    <w:rsid w:val="0775175E"/>
    <w:rsid w:val="1AD972C6"/>
    <w:rsid w:val="21590891"/>
    <w:rsid w:val="29550C79"/>
    <w:rsid w:val="295761C6"/>
    <w:rsid w:val="41A16FD8"/>
    <w:rsid w:val="41C91236"/>
    <w:rsid w:val="48911019"/>
    <w:rsid w:val="552411CA"/>
    <w:rsid w:val="64812A58"/>
    <w:rsid w:val="6E53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customStyle="1" w:styleId="9">
    <w:name w:val="批注框文本 Char"/>
    <w:basedOn w:val="7"/>
    <w:link w:val="2"/>
    <w:qFormat/>
    <w:uiPriority w:val="0"/>
    <w:rPr>
      <w:rFonts w:eastAsia="仿宋_GB2312"/>
      <w:kern w:val="2"/>
      <w:sz w:val="18"/>
      <w:szCs w:val="18"/>
    </w:rPr>
  </w:style>
  <w:style w:type="character" w:customStyle="1" w:styleId="10">
    <w:name w:val="页眉 Char"/>
    <w:basedOn w:val="7"/>
    <w:link w:val="4"/>
    <w:qFormat/>
    <w:uiPriority w:val="0"/>
    <w:rPr>
      <w:rFonts w:eastAsia="仿宋_GB2312"/>
      <w:kern w:val="2"/>
      <w:sz w:val="18"/>
      <w:szCs w:val="18"/>
    </w:rPr>
  </w:style>
  <w:style w:type="character" w:customStyle="1" w:styleId="11">
    <w:name w:val="页脚 Char"/>
    <w:basedOn w:val="7"/>
    <w:link w:val="3"/>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C082B-E355-4B9A-87F7-7AE4C60B922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1780</Words>
  <Characters>1875</Characters>
  <Lines>3</Lines>
  <Paragraphs>1</Paragraphs>
  <TotalTime>3</TotalTime>
  <ScaleCrop>false</ScaleCrop>
  <LinksUpToDate>false</LinksUpToDate>
  <CharactersWithSpaces>1940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2019-05-08T09:32:00Z</dcterms:created>
  <dc:creator>Administrator</dc:creator>
  <cp:lastModifiedBy>我的老婆是大佬</cp:lastModifiedBy>
  <cp:lastPrinted>2018-08-07T01:00:00Z</cp:lastPrinted>
  <dcterms:modified xsi:type="dcterms:W3CDTF">2021-12-31T07:35:29Z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