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spacing w:before="7"/>
        <w:ind w:left="0"/>
        <w:rPr>
          <w:rFonts w:ascii="Times New Roman"/>
          <w:color w:val="auto"/>
          <w:sz w:val="27"/>
          <w:highlight w:val="none"/>
        </w:rPr>
      </w:pPr>
    </w:p>
    <w:p>
      <w:pPr>
        <w:pStyle w:val="2"/>
        <w:spacing w:before="28"/>
        <w:rPr>
          <w:rFonts w:hint="eastAsia"/>
          <w:color w:val="auto"/>
          <w:highlight w:val="none"/>
          <w:lang w:eastAsia="zh-CN"/>
        </w:rPr>
      </w:pPr>
      <w:r>
        <w:rPr>
          <w:rFonts w:hint="eastAsia"/>
          <w:color w:val="auto"/>
          <w:highlight w:val="none"/>
          <w:lang w:eastAsia="zh-CN"/>
        </w:rPr>
        <w:t>紫阳县向阳镇院墙村龚家院子至显钟村公路改建工程</w:t>
      </w:r>
    </w:p>
    <w:p>
      <w:pPr>
        <w:rPr>
          <w:rFonts w:hint="eastAsia"/>
          <w:color w:val="auto"/>
          <w:highlight w:val="none"/>
          <w:lang w:eastAsia="zh-CN"/>
        </w:rPr>
      </w:pPr>
    </w:p>
    <w:p>
      <w:pPr>
        <w:pStyle w:val="7"/>
        <w:ind w:left="0"/>
        <w:rPr>
          <w:b/>
          <w:color w:val="auto"/>
          <w:sz w:val="52"/>
          <w:highlight w:val="none"/>
        </w:rPr>
      </w:pPr>
    </w:p>
    <w:p>
      <w:pPr>
        <w:pStyle w:val="7"/>
        <w:ind w:left="0"/>
        <w:rPr>
          <w:b/>
          <w:color w:val="auto"/>
          <w:sz w:val="52"/>
          <w:highlight w:val="none"/>
        </w:rPr>
      </w:pPr>
    </w:p>
    <w:p>
      <w:pPr>
        <w:pStyle w:val="7"/>
        <w:ind w:left="0"/>
        <w:rPr>
          <w:b/>
          <w:color w:val="auto"/>
          <w:sz w:val="52"/>
          <w:highlight w:val="none"/>
        </w:rPr>
      </w:pPr>
    </w:p>
    <w:p>
      <w:pPr>
        <w:pStyle w:val="7"/>
        <w:ind w:left="0"/>
        <w:rPr>
          <w:b/>
          <w:color w:val="auto"/>
          <w:sz w:val="52"/>
          <w:highlight w:val="none"/>
        </w:rPr>
      </w:pPr>
      <w:bookmarkStart w:id="49" w:name="_GoBack"/>
      <w:bookmarkEnd w:id="49"/>
    </w:p>
    <w:p>
      <w:pPr>
        <w:spacing w:before="0"/>
        <w:ind w:left="0" w:right="4" w:firstLine="0"/>
        <w:jc w:val="center"/>
        <w:rPr>
          <w:b/>
          <w:color w:val="auto"/>
          <w:sz w:val="56"/>
          <w:highlight w:val="none"/>
        </w:rPr>
      </w:pPr>
      <w:r>
        <w:rPr>
          <w:b/>
          <w:color w:val="auto"/>
          <w:sz w:val="56"/>
          <w:highlight w:val="none"/>
        </w:rPr>
        <w:t>竞争性磋商文件</w:t>
      </w:r>
    </w:p>
    <w:p>
      <w:pPr>
        <w:pStyle w:val="6"/>
        <w:spacing w:before="190"/>
        <w:ind w:left="0"/>
        <w:jc w:val="center"/>
        <w:rPr>
          <w:color w:val="auto"/>
          <w:highlight w:val="none"/>
        </w:rPr>
      </w:pPr>
      <w:r>
        <w:rPr>
          <w:color w:val="auto"/>
          <w:highlight w:val="none"/>
        </w:rPr>
        <w:t>项目编号：</w:t>
      </w:r>
      <w:r>
        <w:rPr>
          <w:rFonts w:hint="eastAsia"/>
          <w:color w:val="auto"/>
          <w:highlight w:val="none"/>
        </w:rPr>
        <w:t>HLZFCG-202105-001</w:t>
      </w:r>
    </w:p>
    <w:p>
      <w:pPr>
        <w:pStyle w:val="7"/>
        <w:spacing w:before="12"/>
        <w:ind w:left="0"/>
        <w:rPr>
          <w:b/>
          <w:color w:val="auto"/>
          <w:sz w:val="19"/>
          <w:highlight w:val="none"/>
        </w:rPr>
      </w:pPr>
      <w:r>
        <w:rPr>
          <w:color w:val="auto"/>
          <w:highlight w:val="none"/>
        </w:rPr>
        <w:drawing>
          <wp:anchor distT="0" distB="0" distL="114300" distR="114300" simplePos="0" relativeHeight="245969920" behindDoc="0" locked="0" layoutInCell="1" allowOverlap="1">
            <wp:simplePos x="0" y="0"/>
            <wp:positionH relativeFrom="column">
              <wp:posOffset>2663190</wp:posOffset>
            </wp:positionH>
            <wp:positionV relativeFrom="paragraph">
              <wp:posOffset>37465</wp:posOffset>
            </wp:positionV>
            <wp:extent cx="1232535" cy="1257935"/>
            <wp:effectExtent l="0" t="0" r="5715" b="184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232535" cy="1257935"/>
                    </a:xfrm>
                    <a:prstGeom prst="rect">
                      <a:avLst/>
                    </a:prstGeom>
                    <a:noFill/>
                    <a:ln>
                      <a:noFill/>
                    </a:ln>
                  </pic:spPr>
                </pic:pic>
              </a:graphicData>
            </a:graphic>
          </wp:anchor>
        </w:drawing>
      </w: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ind w:left="0"/>
        <w:rPr>
          <w:b/>
          <w:color w:val="auto"/>
          <w:highlight w:val="none"/>
        </w:rPr>
      </w:pPr>
    </w:p>
    <w:p>
      <w:pPr>
        <w:pStyle w:val="7"/>
        <w:spacing w:before="6"/>
        <w:ind w:left="0"/>
        <w:rPr>
          <w:b/>
          <w:color w:val="auto"/>
          <w:sz w:val="35"/>
          <w:highlight w:val="none"/>
        </w:rPr>
      </w:pPr>
    </w:p>
    <w:p>
      <w:pPr>
        <w:tabs>
          <w:tab w:val="left" w:pos="3929"/>
          <w:tab w:val="left" w:pos="7462"/>
        </w:tabs>
        <w:spacing w:before="0" w:line="364" w:lineRule="auto"/>
        <w:ind w:left="2002" w:right="2319" w:firstLine="0"/>
        <w:jc w:val="left"/>
        <w:rPr>
          <w:b/>
          <w:color w:val="auto"/>
          <w:sz w:val="32"/>
          <w:highlight w:val="none"/>
        </w:rPr>
      </w:pPr>
      <w:r>
        <w:rPr>
          <w:b/>
          <w:color w:val="auto"/>
          <w:sz w:val="32"/>
          <w:highlight w:val="none"/>
        </w:rPr>
        <w:t>采 购</w:t>
      </w:r>
      <w:r>
        <w:rPr>
          <w:b/>
          <w:color w:val="auto"/>
          <w:spacing w:val="-4"/>
          <w:sz w:val="32"/>
          <w:highlight w:val="none"/>
        </w:rPr>
        <w:t xml:space="preserve"> </w:t>
      </w:r>
      <w:r>
        <w:rPr>
          <w:b/>
          <w:color w:val="auto"/>
          <w:sz w:val="32"/>
          <w:highlight w:val="none"/>
        </w:rPr>
        <w:t>人</w:t>
      </w:r>
      <w:r>
        <w:rPr>
          <w:b/>
          <w:color w:val="auto"/>
          <w:spacing w:val="3"/>
          <w:sz w:val="32"/>
          <w:highlight w:val="none"/>
        </w:rPr>
        <w:t>：</w:t>
      </w:r>
      <w:r>
        <w:rPr>
          <w:b/>
          <w:color w:val="auto"/>
          <w:spacing w:val="3"/>
          <w:sz w:val="32"/>
          <w:highlight w:val="none"/>
          <w:u w:val="single"/>
        </w:rPr>
        <w:t xml:space="preserve"> </w:t>
      </w:r>
      <w:r>
        <w:rPr>
          <w:b/>
          <w:color w:val="auto"/>
          <w:spacing w:val="3"/>
          <w:sz w:val="32"/>
          <w:highlight w:val="none"/>
          <w:u w:val="single"/>
        </w:rPr>
        <w:tab/>
      </w:r>
      <w:r>
        <w:rPr>
          <w:b/>
          <w:color w:val="auto"/>
          <w:w w:val="95"/>
          <w:sz w:val="32"/>
          <w:highlight w:val="none"/>
          <w:u w:val="single"/>
        </w:rPr>
        <w:t>紫阳县向阳镇人民政府</w:t>
      </w:r>
      <w:r>
        <w:rPr>
          <w:b/>
          <w:color w:val="auto"/>
          <w:w w:val="95"/>
          <w:sz w:val="32"/>
          <w:highlight w:val="none"/>
          <w:u w:val="single"/>
        </w:rPr>
        <w:tab/>
      </w:r>
      <w:r>
        <w:rPr>
          <w:b/>
          <w:color w:val="auto"/>
          <w:w w:val="95"/>
          <w:sz w:val="32"/>
          <w:highlight w:val="none"/>
        </w:rPr>
        <w:t xml:space="preserve"> </w:t>
      </w:r>
      <w:r>
        <w:rPr>
          <w:b/>
          <w:color w:val="auto"/>
          <w:sz w:val="32"/>
          <w:highlight w:val="none"/>
        </w:rPr>
        <w:t>代理机构</w:t>
      </w:r>
      <w:r>
        <w:rPr>
          <w:b/>
          <w:color w:val="auto"/>
          <w:spacing w:val="3"/>
          <w:sz w:val="32"/>
          <w:highlight w:val="none"/>
        </w:rPr>
        <w:t>：</w:t>
      </w:r>
      <w:r>
        <w:rPr>
          <w:b/>
          <w:color w:val="auto"/>
          <w:spacing w:val="-6"/>
          <w:sz w:val="32"/>
          <w:highlight w:val="none"/>
          <w:u w:val="single"/>
        </w:rPr>
        <w:t xml:space="preserve"> </w:t>
      </w:r>
      <w:r>
        <w:rPr>
          <w:rFonts w:hint="eastAsia"/>
          <w:b/>
          <w:color w:val="auto"/>
          <w:spacing w:val="-6"/>
          <w:sz w:val="32"/>
          <w:highlight w:val="none"/>
          <w:u w:val="single"/>
          <w:lang w:val="en-US" w:eastAsia="zh-CN"/>
        </w:rPr>
        <w:t xml:space="preserve"> </w:t>
      </w:r>
      <w:r>
        <w:rPr>
          <w:rFonts w:hint="eastAsia"/>
          <w:b/>
          <w:color w:val="auto"/>
          <w:sz w:val="32"/>
          <w:highlight w:val="none"/>
          <w:u w:val="single"/>
          <w:lang w:eastAsia="zh-CN"/>
        </w:rPr>
        <w:t>鸿利项目管理有限公司</w:t>
      </w:r>
      <w:r>
        <w:rPr>
          <w:rFonts w:hint="eastAsia"/>
          <w:b/>
          <w:color w:val="auto"/>
          <w:sz w:val="32"/>
          <w:highlight w:val="none"/>
          <w:u w:val="single"/>
          <w:lang w:val="en-US" w:eastAsia="zh-CN"/>
        </w:rPr>
        <w:t xml:space="preserve"> </w:t>
      </w:r>
      <w:r>
        <w:rPr>
          <w:b/>
          <w:color w:val="auto"/>
          <w:spacing w:val="3"/>
          <w:sz w:val="32"/>
          <w:highlight w:val="none"/>
          <w:u w:val="single"/>
        </w:rPr>
        <w:t xml:space="preserve"> </w:t>
      </w:r>
    </w:p>
    <w:p>
      <w:pPr>
        <w:spacing w:before="0" w:line="340" w:lineRule="exact"/>
        <w:ind w:left="3805" w:right="0" w:firstLine="0"/>
        <w:jc w:val="left"/>
        <w:rPr>
          <w:b/>
          <w:color w:val="auto"/>
          <w:sz w:val="32"/>
          <w:highlight w:val="none"/>
        </w:rPr>
      </w:pPr>
      <w:r>
        <w:rPr>
          <w:b/>
          <w:color w:val="auto"/>
          <w:sz w:val="32"/>
          <w:highlight w:val="none"/>
        </w:rPr>
        <w:t>2021</w:t>
      </w:r>
      <w:r>
        <w:rPr>
          <w:b/>
          <w:color w:val="auto"/>
          <w:spacing w:val="-54"/>
          <w:sz w:val="32"/>
          <w:highlight w:val="none"/>
        </w:rPr>
        <w:t xml:space="preserve"> 年 </w:t>
      </w:r>
      <w:r>
        <w:rPr>
          <w:rFonts w:hint="eastAsia"/>
          <w:b/>
          <w:color w:val="auto"/>
          <w:sz w:val="32"/>
          <w:highlight w:val="none"/>
          <w:lang w:val="en-US" w:eastAsia="zh-CN"/>
        </w:rPr>
        <w:t>5</w:t>
      </w:r>
      <w:r>
        <w:rPr>
          <w:b/>
          <w:color w:val="auto"/>
          <w:spacing w:val="-54"/>
          <w:sz w:val="32"/>
          <w:highlight w:val="none"/>
        </w:rPr>
        <w:t xml:space="preserve"> 月 </w:t>
      </w:r>
      <w:r>
        <w:rPr>
          <w:rFonts w:hint="eastAsia"/>
          <w:b/>
          <w:color w:val="auto"/>
          <w:sz w:val="32"/>
          <w:highlight w:val="none"/>
          <w:lang w:val="en-US" w:eastAsia="zh-CN"/>
        </w:rPr>
        <w:t>17</w:t>
      </w:r>
      <w:r>
        <w:rPr>
          <w:b/>
          <w:color w:val="auto"/>
          <w:spacing w:val="-41"/>
          <w:sz w:val="32"/>
          <w:highlight w:val="none"/>
        </w:rPr>
        <w:t xml:space="preserve"> 日</w:t>
      </w:r>
    </w:p>
    <w:p>
      <w:pPr>
        <w:spacing w:after="0" w:line="340" w:lineRule="exact"/>
        <w:jc w:val="left"/>
        <w:rPr>
          <w:color w:val="auto"/>
          <w:sz w:val="32"/>
          <w:highlight w:val="none"/>
        </w:rPr>
        <w:sectPr>
          <w:footerReference r:id="rId3" w:type="default"/>
          <w:type w:val="continuous"/>
          <w:pgSz w:w="11910" w:h="16840"/>
          <w:pgMar w:top="1580" w:right="900" w:bottom="1120" w:left="900" w:header="720" w:footer="928" w:gutter="0"/>
          <w:pgNumType w:start="1"/>
        </w:sectPr>
      </w:pPr>
    </w:p>
    <w:p>
      <w:pPr>
        <w:tabs>
          <w:tab w:val="left" w:pos="1447"/>
        </w:tabs>
        <w:spacing w:before="17"/>
        <w:ind w:left="0" w:right="0" w:firstLine="0"/>
        <w:jc w:val="center"/>
        <w:rPr>
          <w:b/>
          <w:color w:val="auto"/>
          <w:sz w:val="48"/>
          <w:highlight w:val="none"/>
        </w:rPr>
      </w:pPr>
      <w:r>
        <w:rPr>
          <w:b/>
          <w:color w:val="auto"/>
          <w:sz w:val="48"/>
          <w:highlight w:val="none"/>
        </w:rPr>
        <w:t>目</w:t>
      </w:r>
      <w:r>
        <w:rPr>
          <w:b/>
          <w:color w:val="auto"/>
          <w:sz w:val="48"/>
          <w:highlight w:val="none"/>
        </w:rPr>
        <w:tab/>
      </w:r>
      <w:r>
        <w:rPr>
          <w:b/>
          <w:color w:val="auto"/>
          <w:sz w:val="48"/>
          <w:highlight w:val="none"/>
        </w:rPr>
        <w:t>录</w:t>
      </w:r>
    </w:p>
    <w:p>
      <w:pPr>
        <w:pStyle w:val="7"/>
        <w:spacing w:before="2"/>
        <w:ind w:left="0"/>
        <w:rPr>
          <w:b/>
          <w:color w:val="auto"/>
          <w:sz w:val="49"/>
          <w:highlight w:val="none"/>
        </w:rPr>
      </w:pPr>
    </w:p>
    <w:p>
      <w:pPr>
        <w:tabs>
          <w:tab w:val="left" w:pos="2765"/>
        </w:tabs>
        <w:spacing w:before="1" w:line="436" w:lineRule="auto"/>
        <w:ind w:left="1318" w:right="5891" w:firstLine="0"/>
        <w:jc w:val="left"/>
        <w:rPr>
          <w:b/>
          <w:color w:val="auto"/>
          <w:sz w:val="36"/>
          <w:highlight w:val="none"/>
        </w:rPr>
      </w:pPr>
      <w:r>
        <w:rPr>
          <w:b/>
          <w:color w:val="auto"/>
          <w:sz w:val="36"/>
          <w:highlight w:val="none"/>
        </w:rPr>
        <w:t>第一章</w:t>
      </w:r>
      <w:r>
        <w:rPr>
          <w:b/>
          <w:color w:val="auto"/>
          <w:sz w:val="36"/>
          <w:highlight w:val="none"/>
        </w:rPr>
        <w:tab/>
      </w:r>
      <w:r>
        <w:rPr>
          <w:b/>
          <w:color w:val="auto"/>
          <w:sz w:val="36"/>
          <w:highlight w:val="none"/>
        </w:rPr>
        <w:t>磋商公</w:t>
      </w:r>
      <w:r>
        <w:rPr>
          <w:b/>
          <w:color w:val="auto"/>
          <w:spacing w:val="-14"/>
          <w:sz w:val="36"/>
          <w:highlight w:val="none"/>
        </w:rPr>
        <w:t>告</w:t>
      </w:r>
      <w:r>
        <w:rPr>
          <w:b/>
          <w:color w:val="auto"/>
          <w:sz w:val="36"/>
          <w:highlight w:val="none"/>
        </w:rPr>
        <w:t>第二章</w:t>
      </w:r>
      <w:r>
        <w:rPr>
          <w:b/>
          <w:color w:val="auto"/>
          <w:sz w:val="36"/>
          <w:highlight w:val="none"/>
        </w:rPr>
        <w:tab/>
      </w:r>
      <w:r>
        <w:rPr>
          <w:b/>
          <w:color w:val="auto"/>
          <w:sz w:val="36"/>
          <w:highlight w:val="none"/>
        </w:rPr>
        <w:t>磋商须</w:t>
      </w:r>
      <w:r>
        <w:rPr>
          <w:b/>
          <w:color w:val="auto"/>
          <w:spacing w:val="-14"/>
          <w:sz w:val="36"/>
          <w:highlight w:val="none"/>
        </w:rPr>
        <w:t>知</w:t>
      </w:r>
    </w:p>
    <w:p>
      <w:pPr>
        <w:tabs>
          <w:tab w:val="left" w:pos="2765"/>
        </w:tabs>
        <w:spacing w:before="1"/>
        <w:ind w:left="1318" w:right="0" w:firstLine="0"/>
        <w:jc w:val="left"/>
        <w:rPr>
          <w:b/>
          <w:color w:val="auto"/>
          <w:sz w:val="36"/>
          <w:highlight w:val="none"/>
        </w:rPr>
      </w:pPr>
      <w:r>
        <w:rPr>
          <w:b/>
          <w:color w:val="auto"/>
          <w:sz w:val="36"/>
          <w:highlight w:val="none"/>
        </w:rPr>
        <w:t>第三章</w:t>
      </w:r>
      <w:r>
        <w:rPr>
          <w:b/>
          <w:color w:val="auto"/>
          <w:sz w:val="36"/>
          <w:highlight w:val="none"/>
        </w:rPr>
        <w:tab/>
      </w:r>
      <w:r>
        <w:rPr>
          <w:b/>
          <w:color w:val="auto"/>
          <w:sz w:val="36"/>
          <w:highlight w:val="none"/>
        </w:rPr>
        <w:t>合同主要条款</w:t>
      </w:r>
    </w:p>
    <w:p>
      <w:pPr>
        <w:pStyle w:val="7"/>
        <w:spacing w:before="7"/>
        <w:ind w:left="0"/>
        <w:rPr>
          <w:b/>
          <w:color w:val="auto"/>
          <w:sz w:val="29"/>
          <w:highlight w:val="none"/>
        </w:rPr>
      </w:pPr>
    </w:p>
    <w:p>
      <w:pPr>
        <w:tabs>
          <w:tab w:val="left" w:pos="2765"/>
        </w:tabs>
        <w:spacing w:before="0" w:line="436" w:lineRule="auto"/>
        <w:ind w:left="1318" w:right="3364" w:firstLine="0"/>
        <w:jc w:val="left"/>
        <w:rPr>
          <w:b/>
          <w:color w:val="auto"/>
          <w:sz w:val="36"/>
          <w:highlight w:val="none"/>
        </w:rPr>
      </w:pPr>
      <w:r>
        <w:rPr>
          <w:b/>
          <w:color w:val="auto"/>
          <w:sz w:val="36"/>
          <w:highlight w:val="none"/>
        </w:rPr>
        <w:t>第四章</w:t>
      </w:r>
      <w:r>
        <w:rPr>
          <w:b/>
          <w:color w:val="auto"/>
          <w:sz w:val="36"/>
          <w:highlight w:val="none"/>
        </w:rPr>
        <w:tab/>
      </w:r>
      <w:r>
        <w:rPr>
          <w:b/>
          <w:color w:val="auto"/>
          <w:sz w:val="36"/>
          <w:highlight w:val="none"/>
        </w:rPr>
        <w:t>工程范围及质量验收标</w:t>
      </w:r>
      <w:r>
        <w:rPr>
          <w:b/>
          <w:color w:val="auto"/>
          <w:spacing w:val="-17"/>
          <w:sz w:val="36"/>
          <w:highlight w:val="none"/>
        </w:rPr>
        <w:t>准</w:t>
      </w:r>
      <w:r>
        <w:rPr>
          <w:b/>
          <w:color w:val="auto"/>
          <w:sz w:val="36"/>
          <w:highlight w:val="none"/>
        </w:rPr>
        <w:t>第五章</w:t>
      </w:r>
      <w:r>
        <w:rPr>
          <w:b/>
          <w:color w:val="auto"/>
          <w:sz w:val="36"/>
          <w:highlight w:val="none"/>
        </w:rPr>
        <w:tab/>
      </w:r>
      <w:r>
        <w:rPr>
          <w:b/>
          <w:color w:val="auto"/>
          <w:sz w:val="36"/>
          <w:highlight w:val="none"/>
        </w:rPr>
        <w:t>磋商响应文件基本格式</w:t>
      </w:r>
    </w:p>
    <w:p>
      <w:pPr>
        <w:spacing w:after="0" w:line="436" w:lineRule="auto"/>
        <w:jc w:val="left"/>
        <w:rPr>
          <w:color w:val="auto"/>
          <w:sz w:val="36"/>
          <w:highlight w:val="none"/>
        </w:rPr>
        <w:sectPr>
          <w:pgSz w:w="11910" w:h="16840"/>
          <w:pgMar w:top="1100" w:right="900" w:bottom="1200" w:left="900" w:header="0" w:footer="928" w:gutter="0"/>
        </w:sectPr>
      </w:pPr>
    </w:p>
    <w:p>
      <w:pPr>
        <w:spacing w:before="32"/>
        <w:ind w:left="0" w:right="1" w:firstLine="0"/>
        <w:jc w:val="center"/>
        <w:rPr>
          <w:b/>
          <w:color w:val="auto"/>
          <w:sz w:val="30"/>
          <w:highlight w:val="none"/>
        </w:rPr>
      </w:pPr>
      <w:bookmarkStart w:id="0" w:name="特别提醒"/>
      <w:bookmarkEnd w:id="0"/>
      <w:r>
        <w:rPr>
          <w:b/>
          <w:color w:val="auto"/>
          <w:sz w:val="30"/>
          <w:highlight w:val="none"/>
        </w:rPr>
        <w:t>特别提醒</w:t>
      </w:r>
    </w:p>
    <w:p>
      <w:pPr>
        <w:pStyle w:val="7"/>
        <w:spacing w:before="10"/>
        <w:ind w:left="0"/>
        <w:rPr>
          <w:b/>
          <w:color w:val="auto"/>
          <w:sz w:val="25"/>
          <w:highlight w:val="none"/>
        </w:rPr>
      </w:pPr>
    </w:p>
    <w:p>
      <w:pPr>
        <w:pStyle w:val="6"/>
        <w:spacing w:line="436" w:lineRule="auto"/>
        <w:ind w:right="231" w:firstLine="482"/>
        <w:jc w:val="both"/>
        <w:rPr>
          <w:color w:val="auto"/>
          <w:highlight w:val="none"/>
        </w:rPr>
      </w:pPr>
      <w:r>
        <w:rPr>
          <w:color w:val="auto"/>
          <w:highlight w:val="none"/>
        </w:rPr>
        <w:t>1</w:t>
      </w:r>
      <w:r>
        <w:rPr>
          <w:color w:val="auto"/>
          <w:spacing w:val="-10"/>
          <w:highlight w:val="none"/>
        </w:rPr>
        <w:t>、本项目采用电子化投标与纸质投标并行的方式投标，投标人须使用数字认证证书</w:t>
      </w:r>
      <w:r>
        <w:rPr>
          <w:color w:val="auto"/>
          <w:spacing w:val="-3"/>
          <w:highlight w:val="none"/>
        </w:rPr>
        <w:t xml:space="preserve">（CA </w:t>
      </w:r>
      <w:r>
        <w:rPr>
          <w:color w:val="auto"/>
          <w:highlight w:val="none"/>
        </w:rPr>
        <w:t>锁）对电子投标文件进行签章、加密、递交及开标时解密等相关招投标事宜。开标时投标人须携带数字认证证书（CA</w:t>
      </w:r>
      <w:r>
        <w:rPr>
          <w:color w:val="auto"/>
          <w:spacing w:val="-2"/>
          <w:highlight w:val="none"/>
        </w:rPr>
        <w:t xml:space="preserve"> 锁</w:t>
      </w:r>
      <w:r>
        <w:rPr>
          <w:color w:val="auto"/>
          <w:highlight w:val="none"/>
        </w:rPr>
        <w:t>），如因投标人自身原因未携带数字认证证书（CA 锁）</w:t>
      </w:r>
      <w:r>
        <w:rPr>
          <w:color w:val="auto"/>
          <w:spacing w:val="-5"/>
          <w:highlight w:val="none"/>
        </w:rPr>
        <w:t>造成无</w:t>
      </w:r>
      <w:r>
        <w:rPr>
          <w:color w:val="auto"/>
          <w:highlight w:val="none"/>
        </w:rPr>
        <w:t>法解密投标文件，按无效投标对待。</w:t>
      </w:r>
    </w:p>
    <w:p>
      <w:pPr>
        <w:spacing w:before="3" w:line="436" w:lineRule="auto"/>
        <w:ind w:left="232" w:right="231" w:firstLine="482"/>
        <w:jc w:val="both"/>
        <w:rPr>
          <w:b/>
          <w:color w:val="auto"/>
          <w:sz w:val="24"/>
          <w:highlight w:val="none"/>
        </w:rPr>
      </w:pPr>
      <w:r>
        <w:rPr>
          <w:b/>
          <w:color w:val="auto"/>
          <w:sz w:val="24"/>
          <w:highlight w:val="none"/>
        </w:rPr>
        <w:t>2、电子开标、评标无法进行时， 采购代理机构将启用纸质投标文件。投标人应确保电子投标文件与纸质投标文件一致（包括但不限于文字、图片、签章等），若纸质与电子投标文件不一致，磋商小组将按最不利于投标人的原则对投标文件做出评判，因此导致废标或未中标，投标人自行承担责任。</w:t>
      </w:r>
    </w:p>
    <w:p>
      <w:pPr>
        <w:spacing w:before="1"/>
        <w:ind w:left="715" w:right="0" w:firstLine="0"/>
        <w:jc w:val="left"/>
        <w:rPr>
          <w:b/>
          <w:color w:val="auto"/>
          <w:sz w:val="24"/>
          <w:highlight w:val="none"/>
        </w:rPr>
      </w:pPr>
      <w:r>
        <w:rPr>
          <w:b/>
          <w:color w:val="auto"/>
          <w:sz w:val="24"/>
          <w:highlight w:val="none"/>
        </w:rPr>
        <w:t>3、制作电子投标文件</w:t>
      </w:r>
    </w:p>
    <w:p>
      <w:pPr>
        <w:pStyle w:val="7"/>
        <w:spacing w:before="8"/>
        <w:ind w:left="0"/>
        <w:rPr>
          <w:b/>
          <w:color w:val="auto"/>
          <w:sz w:val="19"/>
          <w:highlight w:val="none"/>
        </w:rPr>
      </w:pPr>
    </w:p>
    <w:p>
      <w:pPr>
        <w:spacing w:before="0" w:line="436" w:lineRule="auto"/>
        <w:ind w:left="232" w:right="115" w:firstLine="482"/>
        <w:jc w:val="left"/>
        <w:rPr>
          <w:b/>
          <w:color w:val="auto"/>
          <w:sz w:val="24"/>
          <w:highlight w:val="none"/>
        </w:rPr>
      </w:pPr>
      <w:r>
        <w:rPr>
          <w:b/>
          <w:color w:val="auto"/>
          <w:spacing w:val="-6"/>
          <w:sz w:val="24"/>
          <w:highlight w:val="none"/>
        </w:rPr>
        <w:t>电子招标文件需要使用专用软件打开、浏览供应商登录全国公共资源交易平台</w:t>
      </w:r>
      <w:r>
        <w:rPr>
          <w:b/>
          <w:color w:val="auto"/>
          <w:sz w:val="24"/>
          <w:highlight w:val="none"/>
        </w:rPr>
        <w:t>（陕西省</w:t>
      </w:r>
      <w:r>
        <w:rPr>
          <w:b/>
          <w:color w:val="auto"/>
          <w:spacing w:val="-13"/>
          <w:sz w:val="24"/>
          <w:highlight w:val="none"/>
        </w:rPr>
        <w:t xml:space="preserve">） </w:t>
      </w:r>
      <w:r>
        <w:rPr>
          <w:b/>
          <w:color w:val="auto"/>
          <w:sz w:val="24"/>
          <w:highlight w:val="none"/>
        </w:rPr>
        <w:t>网站[服务指南-下载专区]免费下载《陕西省公共资源交易平台政府采购电子标书制作工具(V8.0.0.2)》，并升级至最新版本，使用该客户端可以打开电子招标文件。软件操作手册详见全国公共资源交易平台</w:t>
      </w:r>
      <w:r>
        <w:rPr>
          <w:b/>
          <w:color w:val="auto"/>
          <w:spacing w:val="4"/>
          <w:sz w:val="24"/>
          <w:highlight w:val="none"/>
        </w:rPr>
        <w:t>（</w:t>
      </w:r>
      <w:r>
        <w:rPr>
          <w:b/>
          <w:color w:val="auto"/>
          <w:spacing w:val="2"/>
          <w:sz w:val="24"/>
          <w:highlight w:val="none"/>
        </w:rPr>
        <w:t>陕西省</w:t>
      </w:r>
      <w:r>
        <w:rPr>
          <w:b/>
          <w:color w:val="auto"/>
          <w:spacing w:val="4"/>
          <w:sz w:val="24"/>
          <w:highlight w:val="none"/>
        </w:rPr>
        <w:t>）</w:t>
      </w:r>
      <w:r>
        <w:rPr>
          <w:b/>
          <w:color w:val="auto"/>
          <w:sz w:val="24"/>
          <w:highlight w:val="none"/>
        </w:rPr>
        <w:t>网站[服务指南-下载专区]中的《陕西省公共资源交易</w:t>
      </w:r>
    </w:p>
    <w:p>
      <w:pPr>
        <w:spacing w:before="3" w:line="436" w:lineRule="auto"/>
        <w:ind w:left="232" w:right="151" w:firstLine="0"/>
        <w:jc w:val="left"/>
        <w:rPr>
          <w:b/>
          <w:color w:val="auto"/>
          <w:sz w:val="24"/>
          <w:highlight w:val="none"/>
        </w:rPr>
      </w:pPr>
      <w:r>
        <w:rPr>
          <w:b/>
          <w:color w:val="auto"/>
          <w:spacing w:val="84"/>
          <w:sz w:val="24"/>
          <w:highlight w:val="none"/>
        </w:rPr>
        <w:t>（政府采购类）</w:t>
      </w:r>
      <w:r>
        <w:rPr>
          <w:b/>
          <w:color w:val="auto"/>
          <w:spacing w:val="80"/>
          <w:sz w:val="24"/>
          <w:highlight w:val="none"/>
        </w:rPr>
        <w:t xml:space="preserve">投标文件制作软件操作手册》；制作工具下载地址： </w:t>
      </w:r>
      <w:r>
        <w:rPr>
          <w:rStyle w:val="19"/>
          <w:rFonts w:hint="eastAsia" w:ascii="楷体" w:hAnsi="楷体" w:eastAsia="楷体" w:cs="楷体"/>
          <w:color w:val="auto"/>
          <w:sz w:val="21"/>
          <w:szCs w:val="21"/>
          <w:highlight w:val="none"/>
        </w:rPr>
        <w:fldChar w:fldCharType="begin"/>
      </w:r>
      <w:r>
        <w:rPr>
          <w:rStyle w:val="19"/>
          <w:rFonts w:hint="eastAsia" w:ascii="楷体" w:hAnsi="楷体" w:eastAsia="楷体" w:cs="楷体"/>
          <w:color w:val="auto"/>
          <w:sz w:val="21"/>
          <w:szCs w:val="21"/>
          <w:highlight w:val="none"/>
        </w:rPr>
        <w:instrText xml:space="preserve"> HYPERLINK "https://zhidao.bqpoint.com/epointknow2/bqepointknowquestion.html?producttype=1&amp;amp;platformguid=684edb0d-467c-4a6a-b31b-9e7929e1fdee&amp;amp;areacode=610000&amp;amp;CategoryCode=16%E9%8A%86%3F" \h </w:instrText>
      </w:r>
      <w:r>
        <w:rPr>
          <w:rStyle w:val="19"/>
          <w:rFonts w:hint="eastAsia" w:ascii="楷体" w:hAnsi="楷体" w:eastAsia="楷体" w:cs="楷体"/>
          <w:color w:val="auto"/>
          <w:sz w:val="21"/>
          <w:szCs w:val="21"/>
          <w:highlight w:val="none"/>
        </w:rPr>
        <w:fldChar w:fldCharType="separate"/>
      </w:r>
      <w:r>
        <w:rPr>
          <w:rStyle w:val="19"/>
          <w:rFonts w:hint="eastAsia" w:ascii="楷体" w:hAnsi="楷体" w:eastAsia="楷体" w:cs="楷体"/>
          <w:color w:val="auto"/>
          <w:sz w:val="21"/>
          <w:szCs w:val="21"/>
          <w:highlight w:val="none"/>
        </w:rPr>
        <w:t>https://zhidao.bqpoint.com/epointknow2/bqepointknowquestion.html?producttype=1&amp;</w:t>
      </w:r>
      <w:r>
        <w:rPr>
          <w:rStyle w:val="19"/>
          <w:rFonts w:hint="eastAsia" w:ascii="楷体" w:hAnsi="楷体" w:eastAsia="楷体" w:cs="楷体"/>
          <w:color w:val="auto"/>
          <w:sz w:val="21"/>
          <w:szCs w:val="21"/>
          <w:highlight w:val="none"/>
        </w:rPr>
        <w:fldChar w:fldCharType="end"/>
      </w:r>
      <w:r>
        <w:rPr>
          <w:rStyle w:val="19"/>
          <w:rFonts w:hint="eastAsia" w:ascii="楷体" w:hAnsi="楷体" w:eastAsia="楷体" w:cs="楷体"/>
          <w:color w:val="auto"/>
          <w:sz w:val="21"/>
          <w:szCs w:val="21"/>
          <w:highlight w:val="none"/>
        </w:rPr>
        <w:t xml:space="preserve"> </w:t>
      </w:r>
      <w:r>
        <w:rPr>
          <w:rStyle w:val="19"/>
          <w:rFonts w:hint="eastAsia" w:ascii="楷体" w:hAnsi="楷体" w:eastAsia="楷体" w:cs="楷体"/>
          <w:color w:val="auto"/>
          <w:sz w:val="21"/>
          <w:szCs w:val="21"/>
          <w:highlight w:val="none"/>
        </w:rPr>
        <w:fldChar w:fldCharType="begin"/>
      </w:r>
      <w:r>
        <w:rPr>
          <w:rStyle w:val="19"/>
          <w:rFonts w:hint="eastAsia" w:ascii="楷体" w:hAnsi="楷体" w:eastAsia="楷体" w:cs="楷体"/>
          <w:color w:val="auto"/>
          <w:sz w:val="21"/>
          <w:szCs w:val="21"/>
          <w:highlight w:val="none"/>
        </w:rPr>
        <w:instrText xml:space="preserve"> HYPERLINK "https://zhidao.bqpoint.com/epointknow2/bqepointknowquestion.html?producttype=1&amp;amp;platformguid=684edb0d-467c-4a6a-b31b-9e7929e1fdee&amp;amp;areacode=610000&amp;amp;CategoryCode=16%E9%8A%86%3F" \h </w:instrText>
      </w:r>
      <w:r>
        <w:rPr>
          <w:rStyle w:val="19"/>
          <w:rFonts w:hint="eastAsia" w:ascii="楷体" w:hAnsi="楷体" w:eastAsia="楷体" w:cs="楷体"/>
          <w:color w:val="auto"/>
          <w:sz w:val="21"/>
          <w:szCs w:val="21"/>
          <w:highlight w:val="none"/>
        </w:rPr>
        <w:fldChar w:fldCharType="separate"/>
      </w:r>
      <w:r>
        <w:rPr>
          <w:rStyle w:val="19"/>
          <w:rFonts w:hint="eastAsia" w:ascii="楷体" w:hAnsi="楷体" w:eastAsia="楷体" w:cs="楷体"/>
          <w:color w:val="auto"/>
          <w:sz w:val="21"/>
          <w:szCs w:val="21"/>
          <w:highlight w:val="none"/>
        </w:rPr>
        <w:t>platformguid=684edb0d-467c-4a6a-b31b-9e7929e1fdee&amp;areacode=610000&amp;CategoryCode=</w:t>
      </w:r>
      <w:r>
        <w:rPr>
          <w:rStyle w:val="19"/>
          <w:rFonts w:hint="eastAsia" w:ascii="楷体" w:hAnsi="楷体" w:eastAsia="楷体" w:cs="楷体"/>
          <w:color w:val="auto"/>
          <w:sz w:val="21"/>
          <w:szCs w:val="21"/>
          <w:highlight w:val="none"/>
        </w:rPr>
        <w:fldChar w:fldCharType="end"/>
      </w:r>
      <w:r>
        <w:rPr>
          <w:rStyle w:val="19"/>
          <w:rFonts w:hint="eastAsia" w:ascii="楷体" w:hAnsi="楷体" w:eastAsia="楷体" w:cs="楷体"/>
          <w:color w:val="auto"/>
          <w:sz w:val="21"/>
          <w:szCs w:val="21"/>
          <w:highlight w:val="none"/>
        </w:rPr>
        <w:t xml:space="preserve"> </w:t>
      </w:r>
      <w:r>
        <w:rPr>
          <w:rStyle w:val="19"/>
          <w:rFonts w:hint="eastAsia" w:ascii="楷体" w:hAnsi="楷体" w:eastAsia="楷体" w:cs="楷体"/>
          <w:color w:val="auto"/>
          <w:sz w:val="21"/>
          <w:szCs w:val="21"/>
          <w:highlight w:val="none"/>
        </w:rPr>
        <w:fldChar w:fldCharType="begin"/>
      </w:r>
      <w:r>
        <w:rPr>
          <w:rStyle w:val="19"/>
          <w:rFonts w:hint="eastAsia" w:ascii="楷体" w:hAnsi="楷体" w:eastAsia="楷体" w:cs="楷体"/>
          <w:color w:val="auto"/>
          <w:sz w:val="21"/>
          <w:szCs w:val="21"/>
          <w:highlight w:val="none"/>
        </w:rPr>
        <w:instrText xml:space="preserve"> HYPERLINK "https://zhidao.bqpoint.com/epointknow2/bqepointknowquestion.html?producttype=1&amp;amp;platformguid=684edb0d-467c-4a6a-b31b-9e7929e1fdee&amp;amp;areacode=610000&amp;amp;CategoryCode=16%E9%8A%86%3F" \h </w:instrText>
      </w:r>
      <w:r>
        <w:rPr>
          <w:rStyle w:val="19"/>
          <w:rFonts w:hint="eastAsia" w:ascii="楷体" w:hAnsi="楷体" w:eastAsia="楷体" w:cs="楷体"/>
          <w:color w:val="auto"/>
          <w:sz w:val="21"/>
          <w:szCs w:val="21"/>
          <w:highlight w:val="none"/>
        </w:rPr>
        <w:fldChar w:fldCharType="separate"/>
      </w:r>
      <w:r>
        <w:rPr>
          <w:rStyle w:val="19"/>
          <w:rFonts w:hint="eastAsia" w:ascii="楷体" w:hAnsi="楷体" w:eastAsia="楷体" w:cs="楷体"/>
          <w:color w:val="auto"/>
          <w:sz w:val="21"/>
          <w:szCs w:val="21"/>
          <w:highlight w:val="none"/>
        </w:rPr>
        <w:t>16</w:t>
      </w:r>
      <w:r>
        <w:rPr>
          <w:rFonts w:hint="eastAsia"/>
          <w:b/>
          <w:color w:val="auto"/>
          <w:spacing w:val="80"/>
          <w:sz w:val="24"/>
          <w:highlight w:val="none"/>
        </w:rPr>
        <w:t>。</w:t>
      </w:r>
      <w:r>
        <w:rPr>
          <w:rStyle w:val="19"/>
          <w:rFonts w:hint="eastAsia" w:ascii="楷体" w:hAnsi="楷体" w:eastAsia="楷体" w:cs="楷体"/>
          <w:color w:val="auto"/>
          <w:sz w:val="21"/>
          <w:szCs w:val="21"/>
          <w:highlight w:val="none"/>
        </w:rPr>
        <w:fldChar w:fldCharType="end"/>
      </w:r>
    </w:p>
    <w:p>
      <w:pPr>
        <w:spacing w:before="1"/>
        <w:ind w:left="715" w:right="0" w:firstLine="0"/>
        <w:jc w:val="left"/>
        <w:rPr>
          <w:b/>
          <w:color w:val="auto"/>
          <w:sz w:val="24"/>
          <w:highlight w:val="none"/>
        </w:rPr>
      </w:pPr>
      <w:r>
        <w:rPr>
          <w:b/>
          <w:color w:val="auto"/>
          <w:sz w:val="24"/>
          <w:highlight w:val="none"/>
        </w:rPr>
        <w:t>4、递交电子投标文件</w:t>
      </w:r>
    </w:p>
    <w:p>
      <w:pPr>
        <w:pStyle w:val="7"/>
        <w:spacing w:before="8"/>
        <w:ind w:left="0"/>
        <w:rPr>
          <w:b/>
          <w:color w:val="auto"/>
          <w:sz w:val="19"/>
          <w:highlight w:val="none"/>
        </w:rPr>
      </w:pPr>
    </w:p>
    <w:p>
      <w:pPr>
        <w:spacing w:before="0" w:line="436" w:lineRule="auto"/>
        <w:ind w:left="232" w:right="230" w:firstLine="482"/>
        <w:jc w:val="both"/>
        <w:rPr>
          <w:b/>
          <w:color w:val="auto"/>
          <w:sz w:val="24"/>
          <w:highlight w:val="none"/>
        </w:rPr>
      </w:pPr>
      <w:r>
        <w:rPr>
          <w:b/>
          <w:color w:val="auto"/>
          <w:sz w:val="24"/>
          <w:highlight w:val="none"/>
        </w:rPr>
        <w:t>登录全国公共资源交易中心平台（陕西省）（</w:t>
      </w:r>
      <w:r>
        <w:rPr>
          <w:color w:val="auto"/>
          <w:highlight w:val="none"/>
        </w:rPr>
        <w:fldChar w:fldCharType="begin"/>
      </w:r>
      <w:r>
        <w:rPr>
          <w:color w:val="auto"/>
          <w:highlight w:val="none"/>
        </w:rPr>
        <w:instrText xml:space="preserve"> HYPERLINK "http://www.sxggzyjy.cn/" \h </w:instrText>
      </w:r>
      <w:r>
        <w:rPr>
          <w:color w:val="auto"/>
          <w:highlight w:val="none"/>
        </w:rPr>
        <w:fldChar w:fldCharType="separate"/>
      </w:r>
      <w:r>
        <w:rPr>
          <w:b/>
          <w:color w:val="auto"/>
          <w:sz w:val="24"/>
          <w:highlight w:val="none"/>
        </w:rPr>
        <w:t>http://www.sxggzyjy.cn/</w:t>
      </w:r>
      <w:r>
        <w:rPr>
          <w:b/>
          <w:color w:val="auto"/>
          <w:sz w:val="24"/>
          <w:highlight w:val="none"/>
        </w:rPr>
        <w:fldChar w:fldCharType="end"/>
      </w:r>
      <w:r>
        <w:rPr>
          <w:b/>
          <w:color w:val="auto"/>
          <w:sz w:val="24"/>
          <w:highlight w:val="none"/>
        </w:rPr>
        <w:t>），选择“电子交易平台—陕西政府采购交易系统—企业端”进行登录，登录后选择“交易乙方”身份进入，进入菜单“采购业务—我的项目——项目流程——上传响应文件”，上传加密的电子投标文件。上传成功后，电子化平台将予以记录。</w:t>
      </w:r>
    </w:p>
    <w:p>
      <w:pPr>
        <w:spacing w:after="0" w:line="436" w:lineRule="auto"/>
        <w:jc w:val="both"/>
        <w:rPr>
          <w:color w:val="auto"/>
          <w:sz w:val="24"/>
          <w:highlight w:val="none"/>
        </w:rPr>
        <w:sectPr>
          <w:pgSz w:w="11910" w:h="16840"/>
          <w:pgMar w:top="1200" w:right="900" w:bottom="1200" w:left="900" w:header="0" w:footer="928" w:gutter="0"/>
        </w:sectPr>
      </w:pPr>
    </w:p>
    <w:p>
      <w:pPr>
        <w:keepNext w:val="0"/>
        <w:keepLines w:val="0"/>
        <w:pageBreakBefore w:val="0"/>
        <w:widowControl w:val="0"/>
        <w:numPr>
          <w:ilvl w:val="0"/>
          <w:numId w:val="1"/>
        </w:numPr>
        <w:tabs>
          <w:tab w:val="left" w:pos="1286"/>
        </w:tabs>
        <w:kinsoku/>
        <w:wordWrap/>
        <w:overflowPunct/>
        <w:topLinePunct w:val="0"/>
        <w:autoSpaceDE w:val="0"/>
        <w:autoSpaceDN w:val="0"/>
        <w:bidi w:val="0"/>
        <w:adjustRightInd/>
        <w:snapToGrid/>
        <w:spacing w:before="39" w:line="360" w:lineRule="auto"/>
        <w:ind w:left="879" w:leftChars="0" w:right="6" w:firstLine="0" w:firstLineChars="0"/>
        <w:jc w:val="center"/>
        <w:textAlignment w:val="auto"/>
        <w:rPr>
          <w:rFonts w:hint="eastAsia"/>
          <w:b/>
          <w:color w:val="auto"/>
          <w:sz w:val="32"/>
          <w:highlight w:val="none"/>
        </w:rPr>
      </w:pPr>
      <w:r>
        <w:rPr>
          <w:rFonts w:hint="eastAsia"/>
          <w:b/>
          <w:color w:val="auto"/>
          <w:sz w:val="32"/>
          <w:highlight w:val="none"/>
        </w:rPr>
        <w:t>紫阳县向阳镇院墙村龚家院子至显钟村公路改建工程</w:t>
      </w:r>
    </w:p>
    <w:p>
      <w:pPr>
        <w:keepNext w:val="0"/>
        <w:keepLines w:val="0"/>
        <w:pageBreakBefore w:val="0"/>
        <w:widowControl w:val="0"/>
        <w:numPr>
          <w:ilvl w:val="0"/>
          <w:numId w:val="0"/>
        </w:numPr>
        <w:tabs>
          <w:tab w:val="left" w:pos="1286"/>
        </w:tabs>
        <w:kinsoku/>
        <w:wordWrap/>
        <w:overflowPunct/>
        <w:topLinePunct w:val="0"/>
        <w:autoSpaceDE w:val="0"/>
        <w:autoSpaceDN w:val="0"/>
        <w:bidi w:val="0"/>
        <w:adjustRightInd/>
        <w:snapToGrid/>
        <w:spacing w:before="39" w:line="360" w:lineRule="auto"/>
        <w:ind w:left="879" w:leftChars="0" w:right="6" w:rightChars="0"/>
        <w:jc w:val="center"/>
        <w:textAlignment w:val="auto"/>
        <w:rPr>
          <w:b/>
          <w:color w:val="auto"/>
          <w:sz w:val="32"/>
          <w:highlight w:val="none"/>
        </w:rPr>
      </w:pPr>
      <w:r>
        <w:rPr>
          <w:rFonts w:hint="eastAsia"/>
          <w:b/>
          <w:color w:val="auto"/>
          <w:sz w:val="32"/>
          <w:highlight w:val="none"/>
        </w:rPr>
        <w:t>竞争性磋商公告</w:t>
      </w:r>
    </w:p>
    <w:p>
      <w:pPr>
        <w:pStyle w:val="27"/>
        <w:keepNext w:val="0"/>
        <w:keepLines w:val="0"/>
        <w:pageBreakBefore w:val="0"/>
        <w:widowControl/>
        <w:suppressLineNumbers w:val="0"/>
        <w:kinsoku/>
        <w:wordWrap/>
        <w:overflowPunct/>
        <w:topLinePunct w:val="0"/>
        <w:autoSpaceDE w:val="0"/>
        <w:autoSpaceDN w:val="0"/>
        <w:bidi w:val="0"/>
        <w:adjustRightInd/>
        <w:snapToGrid/>
        <w:spacing w:afterAutospacing="0" w:line="300" w:lineRule="exact"/>
        <w:textAlignment w:val="auto"/>
        <w:rPr>
          <w:rFonts w:hint="eastAsia" w:ascii="楷体" w:hAnsi="楷体" w:eastAsia="楷体" w:cs="楷体"/>
          <w:color w:val="auto"/>
          <w:highlight w:val="none"/>
        </w:rPr>
      </w:pPr>
      <w:r>
        <w:rPr>
          <w:rFonts w:ascii="微软雅黑" w:hAnsi="微软雅黑" w:eastAsia="微软雅黑" w:cs="微软雅黑"/>
          <w:color w:val="auto"/>
          <w:highlight w:val="none"/>
        </w:rPr>
        <w:t>  </w:t>
      </w:r>
      <w:r>
        <w:rPr>
          <w:rFonts w:hint="eastAsia" w:ascii="宋体" w:hAnsi="宋体" w:eastAsia="宋体" w:cs="宋体"/>
          <w:color w:val="auto"/>
          <w:highlight w:val="none"/>
        </w:rPr>
        <w:t>  </w:t>
      </w:r>
      <w:r>
        <w:rPr>
          <w:rFonts w:hint="eastAsia" w:ascii="楷体" w:hAnsi="楷体" w:eastAsia="楷体" w:cs="楷体"/>
          <w:color w:val="auto"/>
          <w:highlight w:val="none"/>
        </w:rPr>
        <w:t xml:space="preserve">紫阳县向阳镇院墙村龚家院子至显钟村公路改建工程采购项目潜在的供应商可在安康市高新区居尚现代城19幢502号获取采购文件，并于2021-05-28 09:00:00前递交响应文件。 </w:t>
      </w:r>
    </w:p>
    <w:p>
      <w:pPr>
        <w:pStyle w:val="27"/>
        <w:keepNext w:val="0"/>
        <w:keepLines w:val="0"/>
        <w:pageBreakBefore w:val="0"/>
        <w:widowControl/>
        <w:suppressLineNumbers w:val="0"/>
        <w:kinsoku/>
        <w:wordWrap/>
        <w:overflowPunct/>
        <w:topLinePunct w:val="0"/>
        <w:autoSpaceDE w:val="0"/>
        <w:autoSpaceDN w:val="0"/>
        <w:bidi w:val="0"/>
        <w:adjustRightInd/>
        <w:snapToGrid/>
        <w:spacing w:afterAutospacing="0" w:line="300" w:lineRule="exact"/>
        <w:textAlignment w:val="auto"/>
        <w:rPr>
          <w:rFonts w:hint="eastAsia" w:ascii="楷体" w:hAnsi="楷体" w:eastAsia="楷体" w:cs="楷体"/>
          <w:color w:val="auto"/>
          <w:highlight w:val="none"/>
        </w:rPr>
      </w:pPr>
      <w:r>
        <w:rPr>
          <w:rFonts w:hint="eastAsia" w:ascii="楷体" w:hAnsi="楷体" w:eastAsia="楷体" w:cs="楷体"/>
          <w:color w:val="auto"/>
          <w:highlight w:val="none"/>
        </w:rPr>
        <w:t>一、项目基本情况：</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1、项目编号：HLZFCG-202105-001</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2、项目名称：紫阳县向阳镇院墙村龚家院子至显钟村公路改建工程</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3、预算金额：592,299.70元</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 xml:space="preserve">4、最高限价：592,299.70元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 xml:space="preserve">5、采购需求：紫阳县向阳镇院墙村龚家院子至显钟村公路改建工程，1项，采购预算：592,299.70元， 项目概况：改建道路3.22公里，挖土石方11200m3，弃方外运6700m3，路基换填1700m3，浆砌石挡墙280m3，钢筋混凝土圆管涵11道共68米等（具体工程量以招标工程量清单为准），简要技术要求、用途：紫阳县向阳镇院墙村龚家院子至显钟村公路改建工程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6、合同履行期限：2021-06-01 00:00:00 至 2021-07-01 00:00:00（具体服务起止日期可随合同签订时间相应顺延）</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7、本项目是否接受联合体投标：否</w:t>
      </w:r>
    </w:p>
    <w:p>
      <w:pPr>
        <w:pStyle w:val="27"/>
        <w:keepNext w:val="0"/>
        <w:keepLines w:val="0"/>
        <w:pageBreakBefore w:val="0"/>
        <w:widowControl/>
        <w:suppressLineNumbers w:val="0"/>
        <w:kinsoku/>
        <w:wordWrap/>
        <w:overflowPunct/>
        <w:topLinePunct w:val="0"/>
        <w:autoSpaceDE w:val="0"/>
        <w:autoSpaceDN w:val="0"/>
        <w:bidi w:val="0"/>
        <w:adjustRightInd/>
        <w:snapToGrid/>
        <w:spacing w:afterAutospacing="0" w:line="300" w:lineRule="exact"/>
        <w:textAlignment w:val="auto"/>
        <w:rPr>
          <w:rFonts w:hint="eastAsia" w:ascii="楷体" w:hAnsi="楷体" w:eastAsia="楷体" w:cs="楷体"/>
          <w:color w:val="auto"/>
          <w:highlight w:val="none"/>
        </w:rPr>
      </w:pPr>
      <w:r>
        <w:rPr>
          <w:rFonts w:hint="eastAsia" w:ascii="楷体" w:hAnsi="楷体" w:eastAsia="楷体" w:cs="楷体"/>
          <w:color w:val="auto"/>
          <w:highlight w:val="none"/>
        </w:rPr>
        <w:t xml:space="preserve">二、 响应供应商的资格要求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2、落实政府采购政策需满足的资格要求：1、《政府采购促进中小企业发展管理办法》（财库〔2020〕46号）； 2、《财政部 司法部关于政府采购支持监狱企业发展有关问题的通知》（财库〔2014〕68号）； 3、《国务院办公厅关于建立政府强制采购节能产品制度的通知》（国办发〔2007〕51号）； 4、《节能产品政府采购实施意见》（财库[2004]185号）； 5、《环境标志产品政府采购实施的意见》（财库[2006]90号）； 6、《三部门联合发布关于促进残疾人就业政府采购政策的通知》（财库〔2017〕141号）</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3、本项目的特定资格要求：1、具有合法有效的营业执照、税务登记证和组织机构代码证合法有效（三证合一的企业只提供带有统一社会信用代码的营业执照副本）；2、企业法人授权委托书和被授权人有效身份证件（法定代表人直接参加时，只须出示法定代表人身份证件；授权委托人须提供本公司所在地社会保险管理部门出具的被授权人在本单位缴纳社会保险的清单或其他相关证明。）；3、投标企业须具备相关行政主管部门颁发的公路工程或市政公用工程施工总承包三级(含三级)及以上资质和有效的安全生产许可证；4、拟派项目经理须具有相应专业二级及以上（含二级）注册建造师执业资格证、注册证、有效的安全生产考核合格证书及项目经理无在建工程承诺；5、通过中国政府采购网（www.ccgp.gov.cn）和“信用中国”网站(www.creditchina.gov.cn)查询相关主体无失信记录（网站查询的截图，加盖企业公章）以及参加政府采购活动前3年内在经营活动中没有重大违法记录的书面声明；6、本项目不接受联合体投标。</w:t>
      </w:r>
    </w:p>
    <w:p>
      <w:pPr>
        <w:pStyle w:val="27"/>
        <w:keepNext w:val="0"/>
        <w:keepLines w:val="0"/>
        <w:pageBreakBefore w:val="0"/>
        <w:widowControl/>
        <w:suppressLineNumbers w:val="0"/>
        <w:kinsoku/>
        <w:wordWrap/>
        <w:overflowPunct/>
        <w:topLinePunct w:val="0"/>
        <w:autoSpaceDE w:val="0"/>
        <w:autoSpaceDN w:val="0"/>
        <w:bidi w:val="0"/>
        <w:adjustRightInd/>
        <w:snapToGrid/>
        <w:spacing w:afterAutospacing="0" w:line="300" w:lineRule="exact"/>
        <w:textAlignment w:val="auto"/>
        <w:rPr>
          <w:rFonts w:hint="eastAsia" w:ascii="楷体" w:hAnsi="楷体" w:eastAsia="楷体" w:cs="楷体"/>
          <w:color w:val="auto"/>
          <w:highlight w:val="none"/>
        </w:rPr>
      </w:pPr>
      <w:r>
        <w:rPr>
          <w:rFonts w:hint="eastAsia" w:ascii="楷体" w:hAnsi="楷体" w:eastAsia="楷体" w:cs="楷体"/>
          <w:color w:val="auto"/>
          <w:highlight w:val="none"/>
        </w:rPr>
        <w:t xml:space="preserve">三、 采购文件的获取方式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时间：即日起至2021-05-2</w:t>
      </w:r>
      <w:r>
        <w:rPr>
          <w:rFonts w:hint="eastAsia"/>
          <w:color w:val="auto"/>
          <w:sz w:val="21"/>
          <w:szCs w:val="21"/>
          <w:highlight w:val="none"/>
          <w:lang w:val="en-US" w:eastAsia="zh-CN"/>
        </w:rPr>
        <w:t>4</w:t>
      </w:r>
      <w:r>
        <w:rPr>
          <w:rFonts w:hint="eastAsia"/>
          <w:color w:val="auto"/>
          <w:sz w:val="21"/>
          <w:szCs w:val="21"/>
          <w:highlight w:val="none"/>
        </w:rPr>
        <w:t xml:space="preserve"> 17:00:00 止</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地点：安康市高新区居尚现代城19幢502号</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方式：现场购买/邮寄</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 xml:space="preserve">售价： 每套500元（人民币），售后不退 </w:t>
      </w:r>
    </w:p>
    <w:p>
      <w:pPr>
        <w:keepNext w:val="0"/>
        <w:keepLines w:val="0"/>
        <w:pageBreakBefore w:val="0"/>
        <w:widowControl w:val="0"/>
        <w:kinsoku/>
        <w:wordWrap/>
        <w:overflowPunct/>
        <w:topLinePunct w:val="0"/>
        <w:autoSpaceDE w:val="0"/>
        <w:autoSpaceDN w:val="0"/>
        <w:bidi w:val="0"/>
        <w:adjustRightInd/>
        <w:snapToGrid/>
        <w:spacing w:line="3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rPr>
        <w:t>注：1.投标人使用捆绑CA证书登录安康市公共资源交易中心（http://ak.sxggzyjy.cn/ ），选择本项目点击“我要投标”完善相关信息。 2.进行完善相关信息后，须携带网上投标成功回执单、营业执照(复印件加盖公章)、单位介绍信、授权委托书（法定代表人直接参加时，只须出示法定代表人身份证件；拟派项目经理须具有相应专业二级及以上（含二级）注册建造师执业资格证、注册证、有效的安全生产考核合格证书及项目经理无在建工程承诺；授权代表参加的提供在本单位缴纳社会保险的清单或其他相关证明）在采购代理机构处进行缴费确认；3.下载文件：投标人缴纳招标文件费用后，登录安康市公共资源交易中心（http://ak.sxggzyjy.cn/ ），选择“交易乙方”身份进入投标人界面选择“我的项目”下载招标文件（没有下载招标文件的单位将无法提交电子投标文件）；4.本项目采用电子化投标与纸质投标并行的方式，投标企业需将电子投标文件上传至全国公共资源交易平台,相关操作流程详见全国公共资源交易平台（陕西省）网站[服务指南-下载专区]中的《陕西省公共资源交易中心采购项目投标指南》；5.电子招标文件技术支持：4009280095、4009980000；6.未及时下载招标文件或未经采购代理机构确认的将会影响后续开评标活动。如无进行线上操作，导致无法参与投标的，责任自负。</w:t>
      </w:r>
    </w:p>
    <w:p>
      <w:pPr>
        <w:pStyle w:val="27"/>
        <w:keepNext w:val="0"/>
        <w:keepLines w:val="0"/>
        <w:pageBreakBefore w:val="0"/>
        <w:widowControl/>
        <w:suppressLineNumbers w:val="0"/>
        <w:kinsoku/>
        <w:wordWrap/>
        <w:overflowPunct/>
        <w:topLinePunct w:val="0"/>
        <w:autoSpaceDE w:val="0"/>
        <w:autoSpaceDN w:val="0"/>
        <w:bidi w:val="0"/>
        <w:adjustRightInd/>
        <w:snapToGrid/>
        <w:spacing w:afterAutospacing="0" w:line="240" w:lineRule="auto"/>
        <w:textAlignment w:val="auto"/>
        <w:rPr>
          <w:rFonts w:hint="eastAsia" w:ascii="楷体" w:hAnsi="楷体" w:eastAsia="楷体" w:cs="楷体"/>
          <w:color w:val="auto"/>
          <w:highlight w:val="none"/>
        </w:rPr>
      </w:pPr>
      <w:r>
        <w:rPr>
          <w:rFonts w:hint="eastAsia" w:ascii="楷体" w:hAnsi="楷体" w:eastAsia="楷体" w:cs="楷体"/>
          <w:color w:val="auto"/>
          <w:highlight w:val="none"/>
        </w:rPr>
        <w:t xml:space="preserve">四、 响应文件递交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 xml:space="preserve">截止时间： 2021-05-28 09:00:00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 xml:space="preserve">地点：安康市公共资源交易中心305 </w:t>
      </w:r>
    </w:p>
    <w:p>
      <w:pPr>
        <w:pStyle w:val="27"/>
        <w:keepNext w:val="0"/>
        <w:keepLines w:val="0"/>
        <w:pageBreakBefore w:val="0"/>
        <w:widowControl/>
        <w:suppressLineNumbers w:val="0"/>
        <w:kinsoku/>
        <w:wordWrap/>
        <w:overflowPunct/>
        <w:topLinePunct w:val="0"/>
        <w:autoSpaceDE w:val="0"/>
        <w:autoSpaceDN w:val="0"/>
        <w:bidi w:val="0"/>
        <w:adjustRightInd/>
        <w:snapToGrid/>
        <w:spacing w:afterAutospacing="0" w:line="240" w:lineRule="auto"/>
        <w:textAlignment w:val="auto"/>
        <w:rPr>
          <w:rFonts w:hint="eastAsia" w:ascii="楷体" w:hAnsi="楷体" w:eastAsia="楷体" w:cs="楷体"/>
          <w:color w:val="auto"/>
          <w:highlight w:val="none"/>
        </w:rPr>
      </w:pPr>
      <w:r>
        <w:rPr>
          <w:rFonts w:hint="eastAsia" w:ascii="楷体" w:hAnsi="楷体" w:eastAsia="楷体" w:cs="楷体"/>
          <w:color w:val="auto"/>
          <w:highlight w:val="none"/>
        </w:rPr>
        <w:t>五、公告期限</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自本公告发布之日起3个工作日。</w:t>
      </w:r>
    </w:p>
    <w:p>
      <w:pPr>
        <w:pStyle w:val="27"/>
        <w:keepNext w:val="0"/>
        <w:keepLines w:val="0"/>
        <w:pageBreakBefore w:val="0"/>
        <w:widowControl/>
        <w:suppressLineNumbers w:val="0"/>
        <w:kinsoku/>
        <w:wordWrap/>
        <w:overflowPunct/>
        <w:topLinePunct w:val="0"/>
        <w:autoSpaceDE w:val="0"/>
        <w:autoSpaceDN w:val="0"/>
        <w:bidi w:val="0"/>
        <w:adjustRightInd/>
        <w:snapToGrid/>
        <w:spacing w:afterAutospacing="0" w:line="240" w:lineRule="auto"/>
        <w:textAlignment w:val="auto"/>
        <w:rPr>
          <w:rFonts w:hint="eastAsia" w:ascii="楷体" w:hAnsi="楷体" w:eastAsia="楷体" w:cs="楷体"/>
          <w:color w:val="auto"/>
          <w:highlight w:val="none"/>
        </w:rPr>
      </w:pPr>
      <w:r>
        <w:rPr>
          <w:rFonts w:hint="eastAsia" w:ascii="楷体" w:hAnsi="楷体" w:eastAsia="楷体" w:cs="楷体"/>
          <w:color w:val="auto"/>
          <w:highlight w:val="none"/>
        </w:rPr>
        <w:t>六、其他补充事宜</w:t>
      </w:r>
    </w:p>
    <w:p>
      <w:pPr>
        <w:pStyle w:val="27"/>
        <w:keepNext w:val="0"/>
        <w:keepLines w:val="0"/>
        <w:pageBreakBefore w:val="0"/>
        <w:widowControl/>
        <w:suppressLineNumbers w:val="0"/>
        <w:kinsoku/>
        <w:wordWrap/>
        <w:overflowPunct/>
        <w:topLinePunct w:val="0"/>
        <w:autoSpaceDE w:val="0"/>
        <w:autoSpaceDN w:val="0"/>
        <w:bidi w:val="0"/>
        <w:adjustRightInd/>
        <w:snapToGrid/>
        <w:spacing w:afterAutospacing="0" w:line="240" w:lineRule="auto"/>
        <w:textAlignment w:val="auto"/>
        <w:rPr>
          <w:rFonts w:hint="eastAsia" w:ascii="楷体" w:hAnsi="楷体" w:eastAsia="楷体" w:cs="楷体"/>
          <w:color w:val="auto"/>
          <w:highlight w:val="none"/>
        </w:rPr>
      </w:pPr>
      <w:r>
        <w:rPr>
          <w:rFonts w:hint="eastAsia" w:ascii="楷体" w:hAnsi="楷体" w:eastAsia="楷体" w:cs="楷体"/>
          <w:color w:val="auto"/>
          <w:highlight w:val="none"/>
        </w:rPr>
        <w:t xml:space="preserve">七、对本次采购提出询问，请按以下方式联系。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1、采购人信息：紫阳县向阳镇人民政府</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联系人：紫阳县向阳镇人民政府经办哈先生</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联系地址：向阳镇街道</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联系电话：0915--4512059</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2、项目联系方式</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项目联系人：李先生</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电 话：18309152600</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传 真：/</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3、采购代理机构信息</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名称：鸿利项目管理有限公司</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联系地址：安康市高新区居尚现代城19幢502号</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lang w:val="zh-CN" w:eastAsia="zh-CN"/>
        </w:rPr>
        <w:t>联系方式：</w:t>
      </w:r>
      <w:r>
        <w:rPr>
          <w:rStyle w:val="19"/>
          <w:rFonts w:hint="eastAsia" w:ascii="楷体" w:hAnsi="楷体" w:eastAsia="楷体" w:cs="楷体"/>
          <w:color w:val="auto"/>
          <w:sz w:val="21"/>
          <w:szCs w:val="21"/>
          <w:highlight w:val="none"/>
        </w:rPr>
        <w:fldChar w:fldCharType="begin"/>
      </w:r>
      <w:r>
        <w:rPr>
          <w:rStyle w:val="19"/>
          <w:rFonts w:hint="eastAsia" w:ascii="楷体" w:hAnsi="楷体" w:eastAsia="楷体" w:cs="楷体"/>
          <w:color w:val="auto"/>
          <w:sz w:val="21"/>
          <w:szCs w:val="21"/>
          <w:highlight w:val="none"/>
        </w:rPr>
        <w:instrText xml:space="preserve"> HYPERLINK "http://www.ccgp.gov.cn/agency/a_agencylist.html" \t "_blank" </w:instrText>
      </w:r>
      <w:r>
        <w:rPr>
          <w:rStyle w:val="19"/>
          <w:rFonts w:hint="eastAsia" w:ascii="楷体" w:hAnsi="楷体" w:eastAsia="楷体" w:cs="楷体"/>
          <w:color w:val="auto"/>
          <w:sz w:val="21"/>
          <w:szCs w:val="21"/>
          <w:highlight w:val="none"/>
        </w:rPr>
        <w:fldChar w:fldCharType="separate"/>
      </w:r>
      <w:r>
        <w:rPr>
          <w:rStyle w:val="19"/>
          <w:rFonts w:hint="eastAsia" w:ascii="楷体" w:hAnsi="楷体" w:eastAsia="楷体" w:cs="楷体"/>
          <w:color w:val="auto"/>
          <w:sz w:val="21"/>
          <w:szCs w:val="21"/>
          <w:highlight w:val="none"/>
        </w:rPr>
        <w:t>http://www.ccgp.gov.cn/agency/a_agencylist.html</w:t>
      </w:r>
      <w:r>
        <w:rPr>
          <w:rStyle w:val="19"/>
          <w:rFonts w:hint="eastAsia" w:ascii="楷体" w:hAnsi="楷体" w:eastAsia="楷体" w:cs="楷体"/>
          <w:color w:val="auto"/>
          <w:sz w:val="21"/>
          <w:szCs w:val="21"/>
          <w:highlight w:val="none"/>
        </w:rPr>
        <w:fldChar w:fldCharType="end"/>
      </w:r>
    </w:p>
    <w:p>
      <w:pPr>
        <w:pStyle w:val="9"/>
        <w:keepNext w:val="0"/>
        <w:keepLines w:val="0"/>
        <w:widowControl/>
        <w:suppressLineNumbers w:val="0"/>
        <w:spacing w:before="210" w:beforeAutospacing="0" w:after="210" w:afterAutospacing="0" w:line="240" w:lineRule="auto"/>
        <w:ind w:left="0" w:right="0" w:firstLine="7110" w:firstLineChars="3386"/>
        <w:jc w:val="left"/>
        <w:rPr>
          <w:rFonts w:hint="eastAsia" w:ascii="楷体" w:hAnsi="楷体" w:eastAsia="楷体" w:cs="楷体"/>
          <w:color w:val="auto"/>
          <w:highlight w:val="none"/>
        </w:rPr>
      </w:pPr>
      <w:r>
        <w:rPr>
          <w:rFonts w:hint="eastAsia" w:ascii="楷体" w:hAnsi="楷体" w:eastAsia="楷体" w:cs="楷体"/>
          <w:color w:val="auto"/>
          <w:sz w:val="21"/>
          <w:szCs w:val="21"/>
          <w:highlight w:val="none"/>
        </w:rPr>
        <w:t>鸿利项目管理有限公司</w:t>
      </w:r>
    </w:p>
    <w:p>
      <w:pPr>
        <w:spacing w:after="0"/>
        <w:jc w:val="right"/>
        <w:rPr>
          <w:rFonts w:hint="eastAsia" w:ascii="宋体" w:hAnsi="宋体" w:eastAsia="宋体" w:cs="宋体"/>
          <w:color w:val="auto"/>
          <w:highlight w:val="none"/>
        </w:rPr>
        <w:sectPr>
          <w:pgSz w:w="11910" w:h="16840"/>
          <w:pgMar w:top="1140" w:right="900" w:bottom="1200" w:left="900" w:header="0" w:footer="928" w:gutter="0"/>
        </w:sectPr>
      </w:pPr>
    </w:p>
    <w:p>
      <w:pPr>
        <w:tabs>
          <w:tab w:val="left" w:pos="1286"/>
        </w:tabs>
        <w:spacing w:before="35"/>
        <w:ind w:left="0" w:right="3" w:firstLine="0"/>
        <w:jc w:val="center"/>
        <w:rPr>
          <w:b/>
          <w:color w:val="auto"/>
          <w:sz w:val="32"/>
          <w:highlight w:val="none"/>
        </w:rPr>
      </w:pPr>
      <w:r>
        <w:rPr>
          <w:b/>
          <w:color w:val="auto"/>
          <w:sz w:val="32"/>
          <w:highlight w:val="none"/>
        </w:rPr>
        <w:t>第二章</w:t>
      </w:r>
      <w:r>
        <w:rPr>
          <w:b/>
          <w:color w:val="auto"/>
          <w:sz w:val="32"/>
          <w:highlight w:val="none"/>
        </w:rPr>
        <w:tab/>
      </w:r>
      <w:r>
        <w:rPr>
          <w:b/>
          <w:color w:val="auto"/>
          <w:sz w:val="32"/>
          <w:highlight w:val="none"/>
        </w:rPr>
        <w:t>磋商须知</w:t>
      </w:r>
    </w:p>
    <w:p>
      <w:pPr>
        <w:pStyle w:val="4"/>
        <w:spacing w:before="129"/>
        <w:ind w:right="0"/>
        <w:rPr>
          <w:color w:val="auto"/>
          <w:highlight w:val="none"/>
        </w:rPr>
      </w:pPr>
      <w:bookmarkStart w:id="1" w:name="一、 总 则"/>
      <w:bookmarkEnd w:id="1"/>
      <w:r>
        <w:rPr>
          <w:color w:val="auto"/>
          <w:highlight w:val="none"/>
        </w:rPr>
        <w:t>一、 总 则</w:t>
      </w:r>
    </w:p>
    <w:p>
      <w:pPr>
        <w:pStyle w:val="7"/>
        <w:spacing w:before="266" w:line="374" w:lineRule="auto"/>
        <w:ind w:right="230" w:firstLine="480"/>
        <w:jc w:val="both"/>
        <w:rPr>
          <w:color w:val="auto"/>
          <w:highlight w:val="none"/>
        </w:rPr>
      </w:pPr>
      <w:r>
        <w:rPr>
          <w:color w:val="auto"/>
          <w:highlight w:val="none"/>
        </w:rPr>
        <w:t>本次采购依据《中华人民共和国政府采购法》、《政府采购货物和服务招标投标管理办</w:t>
      </w:r>
      <w:r>
        <w:rPr>
          <w:color w:val="auto"/>
          <w:spacing w:val="-10"/>
          <w:highlight w:val="none"/>
        </w:rPr>
        <w:t>法》、</w:t>
      </w:r>
      <w:r>
        <w:rPr>
          <w:color w:val="auto"/>
          <w:highlight w:val="none"/>
        </w:rPr>
        <w:t>（</w:t>
      </w:r>
      <w:r>
        <w:rPr>
          <w:color w:val="auto"/>
          <w:spacing w:val="-12"/>
          <w:highlight w:val="none"/>
        </w:rPr>
        <w:t xml:space="preserve">财政部第 </w:t>
      </w:r>
      <w:r>
        <w:rPr>
          <w:color w:val="auto"/>
          <w:highlight w:val="none"/>
        </w:rPr>
        <w:t>87</w:t>
      </w:r>
      <w:r>
        <w:rPr>
          <w:color w:val="auto"/>
          <w:spacing w:val="-20"/>
          <w:highlight w:val="none"/>
        </w:rPr>
        <w:t xml:space="preserve"> 号令</w:t>
      </w:r>
      <w:r>
        <w:rPr>
          <w:color w:val="auto"/>
          <w:spacing w:val="-10"/>
          <w:highlight w:val="none"/>
        </w:rPr>
        <w:t>）</w:t>
      </w:r>
      <w:r>
        <w:rPr>
          <w:color w:val="auto"/>
          <w:spacing w:val="-8"/>
          <w:highlight w:val="none"/>
        </w:rPr>
        <w:t>、《中华人民共和国政府采购法实施条例》、《政府采购竞争性</w:t>
      </w:r>
      <w:r>
        <w:rPr>
          <w:color w:val="auto"/>
          <w:spacing w:val="-2"/>
          <w:highlight w:val="none"/>
        </w:rPr>
        <w:t>磋商采购方式管理暂行办法》</w:t>
      </w:r>
      <w:r>
        <w:rPr>
          <w:color w:val="auto"/>
          <w:highlight w:val="none"/>
        </w:rPr>
        <w:t>（</w:t>
      </w:r>
      <w:r>
        <w:rPr>
          <w:color w:val="auto"/>
          <w:spacing w:val="-4"/>
          <w:highlight w:val="none"/>
        </w:rPr>
        <w:t>财库〔</w:t>
      </w:r>
      <w:r>
        <w:rPr>
          <w:color w:val="auto"/>
          <w:highlight w:val="none"/>
        </w:rPr>
        <w:t>2014</w:t>
      </w:r>
      <w:r>
        <w:rPr>
          <w:color w:val="auto"/>
          <w:spacing w:val="-8"/>
          <w:highlight w:val="none"/>
        </w:rPr>
        <w:t>〕</w:t>
      </w:r>
      <w:r>
        <w:rPr>
          <w:color w:val="auto"/>
          <w:highlight w:val="none"/>
        </w:rPr>
        <w:t>214</w:t>
      </w:r>
      <w:r>
        <w:rPr>
          <w:color w:val="auto"/>
          <w:spacing w:val="-11"/>
          <w:highlight w:val="none"/>
        </w:rPr>
        <w:t xml:space="preserve"> 号)、《陕财办采资</w:t>
      </w:r>
      <w:r>
        <w:rPr>
          <w:color w:val="auto"/>
          <w:highlight w:val="none"/>
        </w:rPr>
        <w:t>（2016）53</w:t>
      </w:r>
      <w:r>
        <w:rPr>
          <w:color w:val="auto"/>
          <w:spacing w:val="-14"/>
          <w:highlight w:val="none"/>
        </w:rPr>
        <w:t xml:space="preserve"> 号》文件及国家现行有关法律法规执行。</w:t>
      </w:r>
    </w:p>
    <w:p>
      <w:pPr>
        <w:pStyle w:val="6"/>
        <w:numPr>
          <w:ilvl w:val="0"/>
          <w:numId w:val="2"/>
        </w:numPr>
        <w:tabs>
          <w:tab w:val="left" w:pos="1080"/>
        </w:tabs>
        <w:spacing w:before="1" w:after="0" w:line="240" w:lineRule="auto"/>
        <w:ind w:left="1079" w:right="0" w:hanging="365"/>
        <w:jc w:val="left"/>
        <w:rPr>
          <w:color w:val="auto"/>
          <w:highlight w:val="none"/>
        </w:rPr>
      </w:pPr>
      <w:r>
        <w:rPr>
          <w:color w:val="auto"/>
          <w:highlight w:val="none"/>
        </w:rPr>
        <w:t>采购人、采购代理机构、监督管理机构</w:t>
      </w:r>
    </w:p>
    <w:p>
      <w:pPr>
        <w:pStyle w:val="25"/>
        <w:numPr>
          <w:ilvl w:val="1"/>
          <w:numId w:val="2"/>
        </w:numPr>
        <w:tabs>
          <w:tab w:val="left" w:pos="1134"/>
          <w:tab w:val="left" w:pos="1733"/>
          <w:tab w:val="left" w:pos="2333"/>
        </w:tabs>
        <w:spacing w:before="172" w:after="0" w:line="240" w:lineRule="auto"/>
        <w:ind w:left="1133" w:right="0" w:hanging="421"/>
        <w:jc w:val="left"/>
        <w:rPr>
          <w:color w:val="auto"/>
          <w:sz w:val="24"/>
          <w:highlight w:val="none"/>
        </w:rPr>
      </w:pPr>
      <w:r>
        <w:rPr>
          <w:color w:val="auto"/>
          <w:sz w:val="24"/>
          <w:highlight w:val="none"/>
        </w:rPr>
        <w:t>采</w:t>
      </w:r>
      <w:r>
        <w:rPr>
          <w:color w:val="auto"/>
          <w:sz w:val="24"/>
          <w:highlight w:val="none"/>
        </w:rPr>
        <w:tab/>
      </w:r>
      <w:r>
        <w:rPr>
          <w:color w:val="auto"/>
          <w:sz w:val="24"/>
          <w:highlight w:val="none"/>
        </w:rPr>
        <w:t>购</w:t>
      </w:r>
      <w:r>
        <w:rPr>
          <w:color w:val="auto"/>
          <w:sz w:val="24"/>
          <w:highlight w:val="none"/>
        </w:rPr>
        <w:tab/>
      </w:r>
      <w:r>
        <w:rPr>
          <w:color w:val="auto"/>
          <w:sz w:val="24"/>
          <w:highlight w:val="none"/>
        </w:rPr>
        <w:t>人：紫阳县向阳镇人民政府</w:t>
      </w:r>
    </w:p>
    <w:p>
      <w:pPr>
        <w:pStyle w:val="25"/>
        <w:numPr>
          <w:ilvl w:val="1"/>
          <w:numId w:val="2"/>
        </w:numPr>
        <w:tabs>
          <w:tab w:val="left" w:pos="1134"/>
        </w:tabs>
        <w:spacing w:before="173" w:after="0" w:line="240" w:lineRule="auto"/>
        <w:ind w:left="1133" w:right="0" w:hanging="421"/>
        <w:jc w:val="left"/>
        <w:rPr>
          <w:color w:val="auto"/>
          <w:sz w:val="24"/>
          <w:highlight w:val="none"/>
        </w:rPr>
      </w:pPr>
      <w:r>
        <w:rPr>
          <w:color w:val="auto"/>
          <w:sz w:val="24"/>
          <w:highlight w:val="none"/>
        </w:rPr>
        <w:t>采购代理机构：</w:t>
      </w:r>
      <w:r>
        <w:rPr>
          <w:rFonts w:hint="eastAsia"/>
          <w:color w:val="auto"/>
          <w:sz w:val="24"/>
          <w:highlight w:val="none"/>
          <w:lang w:eastAsia="zh-CN"/>
        </w:rPr>
        <w:t>鸿利项目管理有限公司</w:t>
      </w:r>
    </w:p>
    <w:p>
      <w:pPr>
        <w:pStyle w:val="25"/>
        <w:numPr>
          <w:ilvl w:val="1"/>
          <w:numId w:val="2"/>
        </w:numPr>
        <w:tabs>
          <w:tab w:val="left" w:pos="1134"/>
        </w:tabs>
        <w:spacing w:before="173" w:after="0" w:line="240" w:lineRule="auto"/>
        <w:ind w:left="1133" w:right="0" w:hanging="421"/>
        <w:jc w:val="left"/>
        <w:rPr>
          <w:color w:val="auto"/>
          <w:sz w:val="24"/>
          <w:highlight w:val="none"/>
        </w:rPr>
      </w:pPr>
      <w:r>
        <w:rPr>
          <w:color w:val="auto"/>
          <w:sz w:val="24"/>
          <w:highlight w:val="none"/>
        </w:rPr>
        <w:t>招标采购单位：采购人及采购代理机构的统称</w:t>
      </w:r>
    </w:p>
    <w:p>
      <w:pPr>
        <w:pStyle w:val="25"/>
        <w:numPr>
          <w:ilvl w:val="1"/>
          <w:numId w:val="2"/>
        </w:numPr>
        <w:tabs>
          <w:tab w:val="left" w:pos="1134"/>
        </w:tabs>
        <w:spacing w:before="173" w:after="0" w:line="374" w:lineRule="auto"/>
        <w:ind w:left="715" w:right="5173" w:hanging="3"/>
        <w:jc w:val="left"/>
        <w:rPr>
          <w:b/>
          <w:color w:val="auto"/>
          <w:sz w:val="24"/>
          <w:highlight w:val="none"/>
        </w:rPr>
      </w:pPr>
      <w:r>
        <w:rPr>
          <w:color w:val="auto"/>
          <w:sz w:val="24"/>
          <w:highlight w:val="none"/>
        </w:rPr>
        <w:t xml:space="preserve">监督管理机构：紫阳县财政局   </w:t>
      </w:r>
      <w:r>
        <w:rPr>
          <w:b/>
          <w:color w:val="auto"/>
          <w:sz w:val="24"/>
          <w:highlight w:val="none"/>
        </w:rPr>
        <w:t>2</w:t>
      </w:r>
      <w:r>
        <w:rPr>
          <w:b/>
          <w:color w:val="auto"/>
          <w:spacing w:val="-1"/>
          <w:sz w:val="24"/>
          <w:highlight w:val="none"/>
        </w:rPr>
        <w:t>．合格的投标单位、合格的工程与服务</w:t>
      </w:r>
    </w:p>
    <w:p>
      <w:pPr>
        <w:pStyle w:val="6"/>
        <w:numPr>
          <w:ilvl w:val="1"/>
          <w:numId w:val="3"/>
        </w:numPr>
        <w:tabs>
          <w:tab w:val="left" w:pos="1201"/>
        </w:tabs>
        <w:spacing w:before="0" w:after="0" w:line="240" w:lineRule="auto"/>
        <w:ind w:left="1200" w:right="0" w:hanging="486"/>
        <w:jc w:val="left"/>
        <w:rPr>
          <w:color w:val="auto"/>
          <w:highlight w:val="none"/>
        </w:rPr>
      </w:pPr>
      <w:r>
        <w:rPr>
          <w:color w:val="auto"/>
          <w:highlight w:val="none"/>
        </w:rPr>
        <w:t>合格的投标单位</w:t>
      </w:r>
    </w:p>
    <w:p>
      <w:pPr>
        <w:pStyle w:val="25"/>
        <w:numPr>
          <w:ilvl w:val="2"/>
          <w:numId w:val="3"/>
        </w:numPr>
        <w:tabs>
          <w:tab w:val="left" w:pos="1443"/>
        </w:tabs>
        <w:spacing w:before="173" w:after="0" w:line="240" w:lineRule="auto"/>
        <w:ind w:left="1442" w:right="0" w:hanging="728"/>
        <w:jc w:val="left"/>
        <w:rPr>
          <w:b/>
          <w:color w:val="auto"/>
          <w:sz w:val="24"/>
          <w:highlight w:val="none"/>
        </w:rPr>
      </w:pPr>
      <w:r>
        <w:rPr>
          <w:b/>
          <w:color w:val="auto"/>
          <w:sz w:val="24"/>
          <w:highlight w:val="none"/>
        </w:rPr>
        <w:t>资质要求</w:t>
      </w:r>
    </w:p>
    <w:p>
      <w:pPr>
        <w:pStyle w:val="25"/>
        <w:numPr>
          <w:ilvl w:val="0"/>
          <w:numId w:val="4"/>
        </w:numPr>
        <w:tabs>
          <w:tab w:val="left" w:pos="1315"/>
        </w:tabs>
        <w:spacing w:before="172" w:after="0" w:line="240" w:lineRule="auto"/>
        <w:ind w:left="1314" w:right="0" w:hanging="602"/>
        <w:jc w:val="left"/>
        <w:rPr>
          <w:color w:val="auto"/>
          <w:sz w:val="24"/>
          <w:highlight w:val="none"/>
        </w:rPr>
      </w:pPr>
      <w:r>
        <w:rPr>
          <w:color w:val="auto"/>
          <w:sz w:val="24"/>
          <w:highlight w:val="none"/>
        </w:rPr>
        <w:t>基本资格条件：符合《中华人民共和国政府采购法》第二十二条的规定；</w:t>
      </w:r>
    </w:p>
    <w:p>
      <w:pPr>
        <w:pStyle w:val="25"/>
        <w:numPr>
          <w:ilvl w:val="0"/>
          <w:numId w:val="4"/>
        </w:numPr>
        <w:tabs>
          <w:tab w:val="left" w:pos="1315"/>
        </w:tabs>
        <w:spacing w:before="173" w:after="0" w:line="240" w:lineRule="auto"/>
        <w:ind w:left="1314" w:right="0" w:hanging="602"/>
        <w:jc w:val="left"/>
        <w:rPr>
          <w:color w:val="auto"/>
          <w:sz w:val="24"/>
          <w:highlight w:val="none"/>
        </w:rPr>
      </w:pPr>
      <w:r>
        <w:rPr>
          <w:color w:val="auto"/>
          <w:sz w:val="24"/>
          <w:highlight w:val="none"/>
        </w:rPr>
        <w:t>特定资格条件：</w:t>
      </w:r>
    </w:p>
    <w:p>
      <w:pPr>
        <w:pStyle w:val="7"/>
        <w:spacing w:before="172" w:line="374" w:lineRule="auto"/>
        <w:ind w:right="234" w:firstLine="480"/>
        <w:jc w:val="both"/>
        <w:rPr>
          <w:color w:val="auto"/>
          <w:highlight w:val="none"/>
        </w:rPr>
      </w:pPr>
      <w:r>
        <w:rPr>
          <w:color w:val="auto"/>
          <w:highlight w:val="none"/>
        </w:rPr>
        <w:t>1、</w:t>
      </w:r>
      <w:r>
        <w:rPr>
          <w:rFonts w:hint="eastAsia"/>
          <w:color w:val="auto"/>
          <w:highlight w:val="none"/>
        </w:rPr>
        <w:t>具有合法有效的营业执照、税务登记证和组织机构代码证合法有效（三证合一的企业只提供带有统一社会信用代码的营业执照副本）</w:t>
      </w:r>
      <w:r>
        <w:rPr>
          <w:color w:val="auto"/>
          <w:highlight w:val="none"/>
        </w:rPr>
        <w:t>；</w:t>
      </w:r>
    </w:p>
    <w:p>
      <w:pPr>
        <w:pStyle w:val="7"/>
        <w:spacing w:before="1" w:line="374" w:lineRule="auto"/>
        <w:ind w:right="233" w:firstLine="480"/>
        <w:jc w:val="both"/>
        <w:rPr>
          <w:color w:val="auto"/>
          <w:highlight w:val="none"/>
        </w:rPr>
      </w:pPr>
      <w:r>
        <w:rPr>
          <w:color w:val="auto"/>
          <w:highlight w:val="none"/>
        </w:rPr>
        <w:t>2</w:t>
      </w:r>
      <w:r>
        <w:rPr>
          <w:color w:val="auto"/>
          <w:spacing w:val="-10"/>
          <w:highlight w:val="none"/>
        </w:rPr>
        <w:t>、</w:t>
      </w:r>
      <w:r>
        <w:rPr>
          <w:rFonts w:hint="eastAsia"/>
          <w:color w:val="auto"/>
          <w:spacing w:val="-10"/>
          <w:highlight w:val="none"/>
        </w:rPr>
        <w:t>企业法人授权委托书和被授权人有效身份证件（法定代表人直接参加时，只须出示法定代表人身份证件；授权委托人须提供本公司所在地社会保险管理部门出具的被授权人在本单位缴纳社会保险的清单或其他相关证明。）</w:t>
      </w:r>
      <w:r>
        <w:rPr>
          <w:color w:val="auto"/>
          <w:highlight w:val="none"/>
        </w:rPr>
        <w:t>；</w:t>
      </w:r>
    </w:p>
    <w:p>
      <w:pPr>
        <w:pStyle w:val="7"/>
        <w:spacing w:before="1" w:line="374" w:lineRule="auto"/>
        <w:ind w:right="111" w:firstLine="480"/>
        <w:rPr>
          <w:rFonts w:hint="eastAsia"/>
          <w:color w:val="auto"/>
          <w:highlight w:val="none"/>
          <w:lang w:eastAsia="zh-CN"/>
        </w:rPr>
      </w:pPr>
      <w:r>
        <w:rPr>
          <w:color w:val="auto"/>
          <w:highlight w:val="none"/>
        </w:rPr>
        <w:t>3</w:t>
      </w:r>
      <w:r>
        <w:rPr>
          <w:color w:val="auto"/>
          <w:spacing w:val="-14"/>
          <w:highlight w:val="none"/>
        </w:rPr>
        <w:t>、</w:t>
      </w:r>
      <w:r>
        <w:rPr>
          <w:rFonts w:hint="eastAsia"/>
          <w:color w:val="auto"/>
          <w:spacing w:val="-14"/>
          <w:highlight w:val="none"/>
        </w:rPr>
        <w:t>投标企业须具备相关行政主管部门颁发的公路工程或市政公用工程施工总承包三级(含三级)及以上资质和有效的安全生产许可证</w:t>
      </w:r>
      <w:r>
        <w:rPr>
          <w:rFonts w:hint="eastAsia"/>
          <w:color w:val="auto"/>
          <w:highlight w:val="none"/>
          <w:lang w:eastAsia="zh-CN"/>
        </w:rPr>
        <w:t>；</w:t>
      </w:r>
    </w:p>
    <w:p>
      <w:pPr>
        <w:pStyle w:val="7"/>
        <w:spacing w:before="1" w:line="374" w:lineRule="auto"/>
        <w:ind w:right="111" w:firstLine="480"/>
        <w:rPr>
          <w:color w:val="auto"/>
          <w:highlight w:val="none"/>
        </w:rPr>
      </w:pPr>
      <w:r>
        <w:rPr>
          <w:rFonts w:hint="eastAsia"/>
          <w:color w:val="auto"/>
          <w:highlight w:val="none"/>
          <w:lang w:val="en-US" w:eastAsia="zh-CN"/>
        </w:rPr>
        <w:t>4、</w:t>
      </w:r>
      <w:r>
        <w:rPr>
          <w:color w:val="auto"/>
          <w:highlight w:val="none"/>
        </w:rPr>
        <w:t>申请人</w:t>
      </w:r>
      <w:r>
        <w:rPr>
          <w:rFonts w:hint="eastAsia"/>
          <w:color w:val="auto"/>
          <w:highlight w:val="none"/>
        </w:rPr>
        <w:t>拟派项目经理须具有相应专业二级及以上（含二级）注册建造师执业资格证、注册证、有效的安全生产考核合格证书及项目经理无在建工程承诺</w:t>
      </w:r>
      <w:r>
        <w:rPr>
          <w:color w:val="auto"/>
          <w:highlight w:val="none"/>
        </w:rPr>
        <w:t>；</w:t>
      </w:r>
    </w:p>
    <w:p>
      <w:pPr>
        <w:pStyle w:val="7"/>
        <w:spacing w:before="2" w:line="374" w:lineRule="auto"/>
        <w:ind w:right="232" w:firstLine="480"/>
        <w:rPr>
          <w:color w:val="auto"/>
          <w:highlight w:val="none"/>
        </w:rPr>
      </w:pPr>
      <w:r>
        <w:rPr>
          <w:rFonts w:hint="eastAsia"/>
          <w:color w:val="auto"/>
          <w:spacing w:val="-10"/>
          <w:highlight w:val="none"/>
          <w:lang w:val="en-US" w:eastAsia="zh-CN"/>
        </w:rPr>
        <w:t>5</w:t>
      </w:r>
      <w:r>
        <w:rPr>
          <w:color w:val="auto"/>
          <w:spacing w:val="-10"/>
          <w:highlight w:val="none"/>
        </w:rPr>
        <w:t>、</w:t>
      </w:r>
      <w:r>
        <w:rPr>
          <w:rFonts w:hint="eastAsia"/>
          <w:color w:val="auto"/>
          <w:spacing w:val="-10"/>
          <w:highlight w:val="none"/>
        </w:rPr>
        <w:t>通过中国政府采购网（www.ccgp.gov.cn）和“信用中国”网站(www.creditchina.gov.cn)查询相关主体无失信记录（网站查询的截图，加盖企业公章）以及参加政府采购活动前3年内在经营活动中没有重大违法记录的书面声明</w:t>
      </w:r>
      <w:r>
        <w:rPr>
          <w:color w:val="auto"/>
          <w:highlight w:val="none"/>
        </w:rPr>
        <w:t>；</w:t>
      </w:r>
    </w:p>
    <w:p>
      <w:pPr>
        <w:pStyle w:val="7"/>
        <w:spacing w:before="1"/>
        <w:ind w:left="713"/>
        <w:rPr>
          <w:color w:val="auto"/>
          <w:highlight w:val="none"/>
        </w:rPr>
      </w:pPr>
      <w:r>
        <w:rPr>
          <w:color w:val="auto"/>
          <w:highlight w:val="none"/>
        </w:rPr>
        <w:t>6、本项目不接受联合体投标。（需提供非联合声明承诺书）</w:t>
      </w:r>
    </w:p>
    <w:p>
      <w:pPr>
        <w:pStyle w:val="7"/>
        <w:spacing w:before="149"/>
        <w:ind w:left="713"/>
        <w:rPr>
          <w:color w:val="auto"/>
          <w:highlight w:val="none"/>
        </w:rPr>
      </w:pPr>
      <w:r>
        <w:rPr>
          <w:color w:val="auto"/>
          <w:highlight w:val="none"/>
        </w:rPr>
        <w:t>7、保证金缴纳凭证。</w:t>
      </w:r>
    </w:p>
    <w:p>
      <w:pPr>
        <w:pStyle w:val="6"/>
        <w:spacing w:before="117" w:line="343" w:lineRule="auto"/>
        <w:ind w:right="231" w:firstLine="482"/>
        <w:jc w:val="both"/>
        <w:rPr>
          <w:color w:val="auto"/>
          <w:highlight w:val="none"/>
        </w:rPr>
      </w:pPr>
      <w:r>
        <w:rPr>
          <w:color w:val="auto"/>
          <w:highlight w:val="none"/>
        </w:rPr>
        <w:t>投标单位应保证在响应文件中附有上述资质复印件并加盖公章。评审时，查验上述资格证明原件时（缺少其中任何一项或有一项达不到要求、包括证件的有效性、是否进行年检、是否在有效期内等，资质证书复印件加盖公章，并通过二维码扫描查询有效性）经审查，不合格的投标人按废标处理。</w:t>
      </w:r>
    </w:p>
    <w:p>
      <w:pPr>
        <w:pStyle w:val="25"/>
        <w:numPr>
          <w:ilvl w:val="2"/>
          <w:numId w:val="3"/>
        </w:numPr>
        <w:tabs>
          <w:tab w:val="left" w:pos="1443"/>
        </w:tabs>
        <w:spacing w:before="3" w:after="0" w:line="343" w:lineRule="auto"/>
        <w:ind w:left="232" w:right="233" w:firstLine="482"/>
        <w:jc w:val="both"/>
        <w:rPr>
          <w:b/>
          <w:color w:val="auto"/>
          <w:sz w:val="24"/>
          <w:highlight w:val="none"/>
        </w:rPr>
      </w:pPr>
      <w:r>
        <w:rPr>
          <w:b/>
          <w:color w:val="auto"/>
          <w:spacing w:val="-1"/>
          <w:sz w:val="24"/>
          <w:highlight w:val="none"/>
        </w:rPr>
        <w:t>根据《陕西省财政厅关于政府采购供应商注册登记有关事项的通知》的要求，参加本项目投标且符合《政府采购法》第二十二条规定的合格供应商须通过陕西省政府采购网</w:t>
      </w:r>
    </w:p>
    <w:p>
      <w:pPr>
        <w:spacing w:before="0" w:line="345" w:lineRule="auto"/>
        <w:ind w:left="232" w:right="339" w:firstLine="0"/>
        <w:jc w:val="left"/>
        <w:rPr>
          <w:b/>
          <w:color w:val="auto"/>
          <w:sz w:val="24"/>
          <w:highlight w:val="none"/>
        </w:rPr>
      </w:pPr>
      <w:r>
        <w:rPr>
          <w:b/>
          <w:color w:val="auto"/>
          <w:sz w:val="24"/>
          <w:highlight w:val="none"/>
        </w:rPr>
        <w:t>（</w:t>
      </w:r>
      <w:r>
        <w:rPr>
          <w:color w:val="auto"/>
          <w:highlight w:val="none"/>
        </w:rPr>
        <w:fldChar w:fldCharType="begin"/>
      </w:r>
      <w:r>
        <w:rPr>
          <w:color w:val="auto"/>
          <w:highlight w:val="none"/>
        </w:rPr>
        <w:instrText xml:space="preserve"> HYPERLINK "http://www.ccgp-shaanxi.gov.cn/" \h </w:instrText>
      </w:r>
      <w:r>
        <w:rPr>
          <w:color w:val="auto"/>
          <w:highlight w:val="none"/>
        </w:rPr>
        <w:fldChar w:fldCharType="separate"/>
      </w:r>
      <w:r>
        <w:rPr>
          <w:b/>
          <w:color w:val="auto"/>
          <w:sz w:val="24"/>
          <w:highlight w:val="none"/>
        </w:rPr>
        <w:t>http://www.ccgp-shaanxi.gov.cn/</w:t>
      </w:r>
      <w:r>
        <w:rPr>
          <w:b/>
          <w:color w:val="auto"/>
          <w:sz w:val="24"/>
          <w:highlight w:val="none"/>
        </w:rPr>
        <w:fldChar w:fldCharType="end"/>
      </w:r>
      <w:r>
        <w:rPr>
          <w:b/>
          <w:color w:val="auto"/>
          <w:sz w:val="24"/>
          <w:highlight w:val="none"/>
        </w:rPr>
        <w:t>）注册登记加入陕西省政府采购供应商库，以便中标后能顺利录入中标单位信息，若未办理入库手续，造成不能发布中标公告，责任自负；</w:t>
      </w:r>
    </w:p>
    <w:p>
      <w:pPr>
        <w:pStyle w:val="25"/>
        <w:numPr>
          <w:ilvl w:val="2"/>
          <w:numId w:val="3"/>
        </w:numPr>
        <w:tabs>
          <w:tab w:val="left" w:pos="1434"/>
        </w:tabs>
        <w:spacing w:before="26" w:after="0" w:line="374" w:lineRule="auto"/>
        <w:ind w:left="232" w:right="232" w:firstLine="480"/>
        <w:jc w:val="left"/>
        <w:rPr>
          <w:color w:val="auto"/>
          <w:sz w:val="24"/>
          <w:highlight w:val="none"/>
        </w:rPr>
      </w:pPr>
      <w:r>
        <w:rPr>
          <w:color w:val="auto"/>
          <w:spacing w:val="-3"/>
          <w:sz w:val="24"/>
          <w:highlight w:val="none"/>
        </w:rPr>
        <w:t xml:space="preserve">投标单位须出具参加政府采购活动近 </w:t>
      </w:r>
      <w:r>
        <w:rPr>
          <w:color w:val="auto"/>
          <w:sz w:val="24"/>
          <w:highlight w:val="none"/>
        </w:rPr>
        <w:t>3</w:t>
      </w:r>
      <w:r>
        <w:rPr>
          <w:color w:val="auto"/>
          <w:spacing w:val="-8"/>
          <w:sz w:val="24"/>
          <w:highlight w:val="none"/>
        </w:rPr>
        <w:t xml:space="preserve"> 年内在经营活动中没有重大违法纪录的书</w:t>
      </w:r>
      <w:r>
        <w:rPr>
          <w:color w:val="auto"/>
          <w:sz w:val="24"/>
          <w:highlight w:val="none"/>
        </w:rPr>
        <w:t>面声明。</w:t>
      </w:r>
    </w:p>
    <w:p>
      <w:pPr>
        <w:pStyle w:val="25"/>
        <w:numPr>
          <w:ilvl w:val="2"/>
          <w:numId w:val="3"/>
        </w:numPr>
        <w:tabs>
          <w:tab w:val="left" w:pos="1434"/>
        </w:tabs>
        <w:spacing w:before="0" w:after="0" w:line="374" w:lineRule="auto"/>
        <w:ind w:left="232" w:right="231" w:firstLine="480"/>
        <w:jc w:val="left"/>
        <w:rPr>
          <w:color w:val="auto"/>
          <w:sz w:val="24"/>
          <w:highlight w:val="none"/>
        </w:rPr>
      </w:pPr>
      <w:r>
        <w:rPr>
          <w:color w:val="auto"/>
          <w:spacing w:val="-1"/>
          <w:sz w:val="24"/>
          <w:highlight w:val="none"/>
        </w:rPr>
        <w:t>投标单位必须从采购代理机构购买磋商文件并登记备案，未从采购代理机构购买</w:t>
      </w:r>
      <w:r>
        <w:rPr>
          <w:color w:val="auto"/>
          <w:sz w:val="24"/>
          <w:highlight w:val="none"/>
        </w:rPr>
        <w:t>磋商文件并登记备案的潜在投标单位均无资格参加磋商。</w:t>
      </w:r>
    </w:p>
    <w:p>
      <w:pPr>
        <w:pStyle w:val="6"/>
        <w:numPr>
          <w:ilvl w:val="1"/>
          <w:numId w:val="3"/>
        </w:numPr>
        <w:tabs>
          <w:tab w:val="left" w:pos="1201"/>
        </w:tabs>
        <w:spacing w:before="1" w:after="0" w:line="240" w:lineRule="auto"/>
        <w:ind w:left="1200" w:right="0" w:hanging="486"/>
        <w:jc w:val="left"/>
        <w:rPr>
          <w:color w:val="auto"/>
          <w:highlight w:val="none"/>
        </w:rPr>
      </w:pPr>
      <w:r>
        <w:rPr>
          <w:color w:val="auto"/>
          <w:highlight w:val="none"/>
        </w:rPr>
        <w:t>合格的工程</w:t>
      </w:r>
    </w:p>
    <w:p>
      <w:pPr>
        <w:pStyle w:val="25"/>
        <w:numPr>
          <w:ilvl w:val="2"/>
          <w:numId w:val="3"/>
        </w:numPr>
        <w:tabs>
          <w:tab w:val="left" w:pos="1434"/>
        </w:tabs>
        <w:spacing w:before="172" w:after="0" w:line="240" w:lineRule="auto"/>
        <w:ind w:left="1433" w:right="0" w:hanging="721"/>
        <w:jc w:val="left"/>
        <w:rPr>
          <w:color w:val="auto"/>
          <w:sz w:val="24"/>
          <w:highlight w:val="none"/>
        </w:rPr>
      </w:pPr>
      <w:r>
        <w:rPr>
          <w:color w:val="auto"/>
          <w:sz w:val="24"/>
          <w:highlight w:val="none"/>
        </w:rPr>
        <w:t>工程范围及工期、质量要求。</w:t>
      </w:r>
    </w:p>
    <w:p>
      <w:pPr>
        <w:pStyle w:val="25"/>
        <w:numPr>
          <w:ilvl w:val="3"/>
          <w:numId w:val="3"/>
        </w:numPr>
        <w:tabs>
          <w:tab w:val="left" w:pos="1674"/>
        </w:tabs>
        <w:spacing w:before="173" w:after="0" w:line="240" w:lineRule="auto"/>
        <w:ind w:left="1673" w:right="0" w:hanging="961"/>
        <w:jc w:val="left"/>
        <w:rPr>
          <w:color w:val="auto"/>
          <w:spacing w:val="-11"/>
          <w:sz w:val="24"/>
          <w:highlight w:val="none"/>
        </w:rPr>
      </w:pPr>
      <w:r>
        <w:rPr>
          <w:color w:val="auto"/>
          <w:sz w:val="24"/>
          <w:highlight w:val="none"/>
        </w:rPr>
        <w:t>工程范围：</w:t>
      </w:r>
      <w:r>
        <w:rPr>
          <w:rFonts w:hint="eastAsia"/>
          <w:color w:val="auto"/>
          <w:spacing w:val="-11"/>
          <w:sz w:val="24"/>
          <w:highlight w:val="none"/>
          <w:lang w:eastAsia="zh-CN"/>
        </w:rPr>
        <w:t>紫阳县向阳镇院墙村龚家院子至显钟村公路改建工程</w:t>
      </w:r>
      <w:r>
        <w:rPr>
          <w:color w:val="auto"/>
          <w:spacing w:val="-11"/>
          <w:sz w:val="24"/>
          <w:highlight w:val="none"/>
        </w:rPr>
        <w:t>（详见工程量清单）。</w:t>
      </w:r>
    </w:p>
    <w:p>
      <w:pPr>
        <w:pStyle w:val="25"/>
        <w:numPr>
          <w:ilvl w:val="3"/>
          <w:numId w:val="3"/>
        </w:numPr>
        <w:tabs>
          <w:tab w:val="left" w:pos="1674"/>
        </w:tabs>
        <w:spacing w:before="173" w:after="0" w:line="240" w:lineRule="auto"/>
        <w:ind w:left="1673" w:right="0" w:hanging="961"/>
        <w:jc w:val="both"/>
        <w:rPr>
          <w:color w:val="auto"/>
          <w:sz w:val="24"/>
          <w:highlight w:val="none"/>
        </w:rPr>
      </w:pPr>
      <w:r>
        <w:rPr>
          <w:color w:val="auto"/>
          <w:sz w:val="24"/>
          <w:highlight w:val="none"/>
        </w:rPr>
        <w:t>质量要求：合格。</w:t>
      </w:r>
    </w:p>
    <w:p>
      <w:pPr>
        <w:pStyle w:val="7"/>
        <w:spacing w:before="172" w:line="374" w:lineRule="auto"/>
        <w:ind w:right="239" w:firstLine="480"/>
        <w:jc w:val="both"/>
        <w:rPr>
          <w:color w:val="auto"/>
          <w:highlight w:val="none"/>
        </w:rPr>
      </w:pPr>
      <w:r>
        <w:rPr>
          <w:color w:val="auto"/>
          <w:highlight w:val="none"/>
        </w:rPr>
        <w:t>本工程的工程质量应符合国家工程质量验收标准合格以上要求，投标单位应按现行的国家施工验收规范和质量评定标准和设计图纸、施工说明书、设备说明书、设计变更等技术文件为依据施工。</w:t>
      </w:r>
    </w:p>
    <w:p>
      <w:pPr>
        <w:pStyle w:val="25"/>
        <w:numPr>
          <w:ilvl w:val="4"/>
          <w:numId w:val="3"/>
        </w:numPr>
        <w:tabs>
          <w:tab w:val="left" w:pos="1914"/>
        </w:tabs>
        <w:spacing w:before="1" w:after="0" w:line="374" w:lineRule="auto"/>
        <w:ind w:left="232" w:right="238" w:firstLine="480"/>
        <w:jc w:val="both"/>
        <w:rPr>
          <w:color w:val="auto"/>
          <w:sz w:val="24"/>
          <w:highlight w:val="none"/>
        </w:rPr>
      </w:pPr>
      <w:r>
        <w:rPr>
          <w:color w:val="auto"/>
          <w:spacing w:val="-1"/>
          <w:sz w:val="24"/>
          <w:highlight w:val="none"/>
        </w:rPr>
        <w:t>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w:t>
      </w:r>
      <w:r>
        <w:rPr>
          <w:color w:val="auto"/>
          <w:sz w:val="24"/>
          <w:highlight w:val="none"/>
        </w:rPr>
        <w:t>总价格 3</w:t>
      </w:r>
      <w:r>
        <w:rPr>
          <w:color w:val="auto"/>
          <w:spacing w:val="5"/>
          <w:sz w:val="24"/>
          <w:highlight w:val="none"/>
        </w:rPr>
        <w:t xml:space="preserve"> </w:t>
      </w:r>
      <w:r>
        <w:rPr>
          <w:color w:val="auto"/>
          <w:spacing w:val="5"/>
          <w:sz w:val="24"/>
          <w:highlight w:val="none"/>
        </w:rPr>
        <w:drawing>
          <wp:inline distT="0" distB="0" distL="0" distR="0">
            <wp:extent cx="69850" cy="1079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6" cstate="print"/>
                    <a:stretch>
                      <a:fillRect/>
                    </a:stretch>
                  </pic:blipFill>
                  <pic:spPr>
                    <a:xfrm>
                      <a:off x="0" y="0"/>
                      <a:ext cx="69850" cy="107950"/>
                    </a:xfrm>
                    <a:prstGeom prst="rect">
                      <a:avLst/>
                    </a:prstGeom>
                  </pic:spPr>
                </pic:pic>
              </a:graphicData>
            </a:graphic>
          </wp:inline>
        </w:drawing>
      </w:r>
      <w:r>
        <w:rPr>
          <w:color w:val="auto"/>
          <w:sz w:val="24"/>
          <w:highlight w:val="none"/>
        </w:rPr>
        <w:t>支付赔偿金。</w:t>
      </w:r>
    </w:p>
    <w:p>
      <w:pPr>
        <w:pStyle w:val="25"/>
        <w:numPr>
          <w:ilvl w:val="3"/>
          <w:numId w:val="3"/>
        </w:numPr>
        <w:tabs>
          <w:tab w:val="left" w:pos="1674"/>
        </w:tabs>
        <w:spacing w:before="2" w:after="0" w:line="240" w:lineRule="auto"/>
        <w:ind w:left="1673" w:right="0" w:hanging="961"/>
        <w:jc w:val="both"/>
        <w:rPr>
          <w:color w:val="auto"/>
          <w:sz w:val="24"/>
          <w:highlight w:val="none"/>
        </w:rPr>
      </w:pPr>
      <w:r>
        <w:rPr>
          <w:color w:val="auto"/>
          <w:sz w:val="24"/>
          <w:highlight w:val="none"/>
        </w:rPr>
        <w:t>工期</w:t>
      </w:r>
    </w:p>
    <w:p>
      <w:pPr>
        <w:pStyle w:val="25"/>
        <w:numPr>
          <w:ilvl w:val="4"/>
          <w:numId w:val="3"/>
        </w:numPr>
        <w:tabs>
          <w:tab w:val="left" w:pos="1914"/>
        </w:tabs>
        <w:spacing w:before="172" w:after="0" w:line="240" w:lineRule="auto"/>
        <w:ind w:left="1913" w:right="0" w:hanging="1201"/>
        <w:jc w:val="left"/>
        <w:rPr>
          <w:color w:val="auto"/>
          <w:sz w:val="24"/>
          <w:highlight w:val="none"/>
        </w:rPr>
      </w:pPr>
      <w:r>
        <w:rPr>
          <w:color w:val="auto"/>
          <w:sz w:val="24"/>
          <w:highlight w:val="none"/>
        </w:rPr>
        <w:t>本工程按采购人要求工期为：</w:t>
      </w:r>
      <w:r>
        <w:rPr>
          <w:rFonts w:hint="eastAsia"/>
          <w:b/>
          <w:color w:val="auto"/>
          <w:sz w:val="24"/>
          <w:highlight w:val="none"/>
          <w:lang w:val="en-US" w:eastAsia="zh-CN"/>
        </w:rPr>
        <w:t>3</w:t>
      </w:r>
      <w:r>
        <w:rPr>
          <w:b/>
          <w:color w:val="auto"/>
          <w:sz w:val="24"/>
          <w:highlight w:val="none"/>
        </w:rPr>
        <w:t>0</w:t>
      </w:r>
      <w:r>
        <w:rPr>
          <w:b/>
          <w:color w:val="auto"/>
          <w:spacing w:val="-31"/>
          <w:sz w:val="24"/>
          <w:highlight w:val="none"/>
        </w:rPr>
        <w:t xml:space="preserve"> 天</w:t>
      </w:r>
      <w:r>
        <w:rPr>
          <w:color w:val="auto"/>
          <w:sz w:val="24"/>
          <w:highlight w:val="none"/>
        </w:rPr>
        <w:t>。</w:t>
      </w:r>
    </w:p>
    <w:p>
      <w:pPr>
        <w:pStyle w:val="25"/>
        <w:numPr>
          <w:ilvl w:val="4"/>
          <w:numId w:val="3"/>
        </w:numPr>
        <w:tabs>
          <w:tab w:val="left" w:pos="1914"/>
        </w:tabs>
        <w:spacing w:before="173" w:after="0" w:line="240" w:lineRule="auto"/>
        <w:ind w:left="1913" w:right="0" w:hanging="1201"/>
        <w:jc w:val="left"/>
        <w:rPr>
          <w:color w:val="auto"/>
          <w:sz w:val="24"/>
          <w:highlight w:val="none"/>
        </w:rPr>
      </w:pPr>
      <w:r>
        <w:rPr>
          <w:color w:val="auto"/>
          <w:spacing w:val="-9"/>
          <w:sz w:val="24"/>
          <w:highlight w:val="none"/>
        </w:rPr>
        <w:t>工期延误，如果由于以下原因造成竣工日期推迟延误，经采购人代表确认后，</w:t>
      </w:r>
    </w:p>
    <w:p>
      <w:pPr>
        <w:spacing w:after="0" w:line="240" w:lineRule="auto"/>
        <w:jc w:val="left"/>
        <w:rPr>
          <w:color w:val="auto"/>
          <w:sz w:val="24"/>
          <w:highlight w:val="none"/>
        </w:rPr>
        <w:sectPr>
          <w:pgSz w:w="11910" w:h="16840"/>
          <w:pgMar w:top="1220" w:right="900" w:bottom="1200" w:left="900" w:header="0" w:footer="928" w:gutter="0"/>
        </w:sectPr>
      </w:pPr>
    </w:p>
    <w:p>
      <w:pPr>
        <w:pStyle w:val="7"/>
        <w:spacing w:before="38"/>
        <w:rPr>
          <w:color w:val="auto"/>
          <w:highlight w:val="none"/>
        </w:rPr>
      </w:pPr>
      <w:r>
        <w:rPr>
          <w:color w:val="auto"/>
          <w:highlight w:val="none"/>
        </w:rPr>
        <w:t>投标单位有理由延期完成工程或部分工程，采购人应同投标单位协商决定延长竣工时间的期</w:t>
      </w:r>
    </w:p>
    <w:p>
      <w:pPr>
        <w:pStyle w:val="7"/>
        <w:spacing w:before="4"/>
        <w:ind w:left="0"/>
        <w:rPr>
          <w:color w:val="auto"/>
          <w:sz w:val="8"/>
          <w:highlight w:val="none"/>
        </w:rPr>
      </w:pPr>
    </w:p>
    <w:p>
      <w:pPr>
        <w:pStyle w:val="7"/>
        <w:spacing w:before="67"/>
        <w:rPr>
          <w:color w:val="auto"/>
          <w:highlight w:val="none"/>
        </w:rPr>
      </w:pPr>
      <w:r>
        <w:rPr>
          <w:color w:val="auto"/>
          <w:highlight w:val="none"/>
        </w:rPr>
        <w:t>限。</w:t>
      </w:r>
    </w:p>
    <w:p>
      <w:pPr>
        <w:pStyle w:val="25"/>
        <w:numPr>
          <w:ilvl w:val="0"/>
          <w:numId w:val="5"/>
        </w:numPr>
        <w:tabs>
          <w:tab w:val="left" w:pos="1315"/>
        </w:tabs>
        <w:spacing w:before="172" w:after="0" w:line="240" w:lineRule="auto"/>
        <w:ind w:left="1314" w:right="0" w:hanging="602"/>
        <w:jc w:val="left"/>
        <w:rPr>
          <w:color w:val="auto"/>
          <w:sz w:val="24"/>
          <w:highlight w:val="none"/>
        </w:rPr>
      </w:pPr>
      <w:r>
        <w:rPr>
          <w:color w:val="auto"/>
          <w:sz w:val="24"/>
          <w:highlight w:val="none"/>
        </w:rPr>
        <w:t>额外的或附加的工程数量。</w:t>
      </w:r>
    </w:p>
    <w:p>
      <w:pPr>
        <w:pStyle w:val="25"/>
        <w:numPr>
          <w:ilvl w:val="0"/>
          <w:numId w:val="5"/>
        </w:numPr>
        <w:tabs>
          <w:tab w:val="left" w:pos="1315"/>
        </w:tabs>
        <w:spacing w:before="173" w:after="0" w:line="240" w:lineRule="auto"/>
        <w:ind w:left="1314" w:right="0" w:hanging="602"/>
        <w:jc w:val="left"/>
        <w:rPr>
          <w:color w:val="auto"/>
          <w:sz w:val="24"/>
          <w:highlight w:val="none"/>
        </w:rPr>
      </w:pPr>
      <w:r>
        <w:rPr>
          <w:color w:val="auto"/>
          <w:sz w:val="24"/>
          <w:highlight w:val="none"/>
        </w:rPr>
        <w:t>由采购人原因造成的延误、障碍、阻止。</w:t>
      </w:r>
    </w:p>
    <w:p>
      <w:pPr>
        <w:pStyle w:val="25"/>
        <w:numPr>
          <w:ilvl w:val="0"/>
          <w:numId w:val="5"/>
        </w:numPr>
        <w:tabs>
          <w:tab w:val="left" w:pos="1315"/>
        </w:tabs>
        <w:spacing w:before="172" w:after="0" w:line="240" w:lineRule="auto"/>
        <w:ind w:left="1314" w:right="0" w:hanging="602"/>
        <w:jc w:val="left"/>
        <w:rPr>
          <w:color w:val="auto"/>
          <w:sz w:val="24"/>
          <w:highlight w:val="none"/>
        </w:rPr>
      </w:pPr>
      <w:r>
        <w:rPr>
          <w:color w:val="auto"/>
          <w:sz w:val="24"/>
          <w:highlight w:val="none"/>
        </w:rPr>
        <w:t>不可抗力。</w:t>
      </w:r>
    </w:p>
    <w:p>
      <w:pPr>
        <w:pStyle w:val="25"/>
        <w:numPr>
          <w:ilvl w:val="0"/>
          <w:numId w:val="5"/>
        </w:numPr>
        <w:tabs>
          <w:tab w:val="left" w:pos="1315"/>
        </w:tabs>
        <w:spacing w:before="173" w:after="0" w:line="240" w:lineRule="auto"/>
        <w:ind w:left="1314" w:right="0" w:hanging="602"/>
        <w:jc w:val="left"/>
        <w:rPr>
          <w:color w:val="auto"/>
          <w:sz w:val="24"/>
          <w:highlight w:val="none"/>
        </w:rPr>
      </w:pPr>
      <w:r>
        <w:rPr>
          <w:color w:val="auto"/>
          <w:sz w:val="24"/>
          <w:highlight w:val="none"/>
        </w:rPr>
        <w:t>可能会出现的，不属投标单位的过失或违约造成的。</w:t>
      </w:r>
    </w:p>
    <w:p>
      <w:pPr>
        <w:pStyle w:val="25"/>
        <w:numPr>
          <w:ilvl w:val="4"/>
          <w:numId w:val="3"/>
        </w:numPr>
        <w:tabs>
          <w:tab w:val="left" w:pos="1914"/>
        </w:tabs>
        <w:spacing w:before="172" w:after="0" w:line="240" w:lineRule="auto"/>
        <w:ind w:left="1913" w:right="0" w:hanging="1201"/>
        <w:jc w:val="left"/>
        <w:rPr>
          <w:color w:val="auto"/>
          <w:sz w:val="24"/>
          <w:highlight w:val="none"/>
        </w:rPr>
      </w:pPr>
      <w:r>
        <w:rPr>
          <w:color w:val="auto"/>
          <w:sz w:val="24"/>
          <w:highlight w:val="none"/>
        </w:rPr>
        <w:t>非上述原因，投标单位不能按合同工期完成，应承担违约责任，并向采购人</w:t>
      </w:r>
    </w:p>
    <w:p>
      <w:pPr>
        <w:pStyle w:val="7"/>
        <w:spacing w:before="4"/>
        <w:ind w:left="0"/>
        <w:rPr>
          <w:color w:val="auto"/>
          <w:sz w:val="8"/>
          <w:highlight w:val="none"/>
        </w:rPr>
      </w:pPr>
    </w:p>
    <w:p>
      <w:pPr>
        <w:pStyle w:val="7"/>
        <w:spacing w:before="66" w:line="374" w:lineRule="auto"/>
        <w:ind w:right="154"/>
        <w:rPr>
          <w:color w:val="auto"/>
          <w:highlight w:val="none"/>
        </w:rPr>
      </w:pPr>
      <w:r>
        <w:rPr>
          <w:color w:val="auto"/>
          <w:highlight w:val="none"/>
        </w:rPr>
        <w:t>支付赔偿费。赔偿费支付办法按合同工期每推延一天赔偿 300 元，限额为合同总造价的百分之二。</w:t>
      </w:r>
    </w:p>
    <w:p>
      <w:pPr>
        <w:pStyle w:val="7"/>
        <w:spacing w:before="1" w:line="374" w:lineRule="auto"/>
        <w:ind w:right="240" w:firstLine="480"/>
        <w:rPr>
          <w:color w:val="auto"/>
          <w:highlight w:val="none"/>
        </w:rPr>
      </w:pPr>
      <w:r>
        <w:rPr>
          <w:color w:val="auto"/>
          <w:highlight w:val="none"/>
        </w:rPr>
        <w:t>采购人可从应向投标单位支付的任何金额中扣除此项赔偿费。此赔偿费的支付并不能解除投标单位完成工程的责任或合同规定的其它责任。</w:t>
      </w:r>
    </w:p>
    <w:p>
      <w:pPr>
        <w:pStyle w:val="25"/>
        <w:numPr>
          <w:ilvl w:val="4"/>
          <w:numId w:val="3"/>
        </w:numPr>
        <w:tabs>
          <w:tab w:val="left" w:pos="1914"/>
        </w:tabs>
        <w:spacing w:before="1" w:after="0" w:line="374" w:lineRule="auto"/>
        <w:ind w:left="232" w:right="238" w:firstLine="480"/>
        <w:jc w:val="both"/>
        <w:rPr>
          <w:color w:val="auto"/>
          <w:sz w:val="24"/>
          <w:highlight w:val="none"/>
        </w:rPr>
      </w:pPr>
      <w:r>
        <w:rPr>
          <w:color w:val="auto"/>
          <w:spacing w:val="-1"/>
          <w:sz w:val="24"/>
          <w:highlight w:val="none"/>
        </w:rPr>
        <w:t>工程提前，采购人不支付投标单位实际施工工期提前于合同工期的赶工措施</w:t>
      </w:r>
      <w:r>
        <w:rPr>
          <w:color w:val="auto"/>
          <w:sz w:val="24"/>
          <w:highlight w:val="none"/>
        </w:rPr>
        <w:t>费和提前竣工奖。</w:t>
      </w:r>
    </w:p>
    <w:p>
      <w:pPr>
        <w:pStyle w:val="25"/>
        <w:numPr>
          <w:ilvl w:val="2"/>
          <w:numId w:val="6"/>
        </w:numPr>
        <w:tabs>
          <w:tab w:val="left" w:pos="1434"/>
        </w:tabs>
        <w:spacing w:before="0" w:after="0" w:line="240" w:lineRule="auto"/>
        <w:ind w:left="1433" w:right="0" w:hanging="721"/>
        <w:jc w:val="both"/>
        <w:rPr>
          <w:color w:val="auto"/>
          <w:sz w:val="24"/>
          <w:highlight w:val="none"/>
        </w:rPr>
      </w:pPr>
      <w:r>
        <w:rPr>
          <w:color w:val="auto"/>
          <w:sz w:val="24"/>
          <w:highlight w:val="none"/>
        </w:rPr>
        <w:t>踏勘现场</w:t>
      </w:r>
    </w:p>
    <w:p>
      <w:pPr>
        <w:pStyle w:val="25"/>
        <w:numPr>
          <w:ilvl w:val="3"/>
          <w:numId w:val="6"/>
        </w:numPr>
        <w:tabs>
          <w:tab w:val="left" w:pos="1674"/>
        </w:tabs>
        <w:spacing w:before="173" w:after="0" w:line="374" w:lineRule="auto"/>
        <w:ind w:left="232" w:right="237" w:firstLine="480"/>
        <w:jc w:val="both"/>
        <w:rPr>
          <w:color w:val="auto"/>
          <w:sz w:val="24"/>
          <w:highlight w:val="none"/>
        </w:rPr>
      </w:pPr>
      <w:r>
        <w:rPr>
          <w:color w:val="auto"/>
          <w:spacing w:val="-1"/>
          <w:sz w:val="24"/>
          <w:highlight w:val="none"/>
        </w:rPr>
        <w:t>由投标单位自行现场踏勘，投标单位将需澄清的问题以书面形式提交，采购代理机构、采购人对投标单位提出的问题或现场踏勘的问题进行答复，形成答疑纪要发送投标</w:t>
      </w:r>
      <w:r>
        <w:rPr>
          <w:color w:val="auto"/>
          <w:sz w:val="24"/>
          <w:highlight w:val="none"/>
        </w:rPr>
        <w:t>单位。投标单位承担踏勘现场所发生的自身费用。</w:t>
      </w:r>
    </w:p>
    <w:p>
      <w:pPr>
        <w:pStyle w:val="25"/>
        <w:numPr>
          <w:ilvl w:val="3"/>
          <w:numId w:val="6"/>
        </w:numPr>
        <w:tabs>
          <w:tab w:val="left" w:pos="1674"/>
        </w:tabs>
        <w:spacing w:before="1" w:after="0" w:line="374" w:lineRule="auto"/>
        <w:ind w:left="232" w:right="238" w:firstLine="480"/>
        <w:jc w:val="both"/>
        <w:rPr>
          <w:color w:val="auto"/>
          <w:sz w:val="24"/>
          <w:highlight w:val="none"/>
        </w:rPr>
      </w:pPr>
      <w:r>
        <w:rPr>
          <w:color w:val="auto"/>
          <w:spacing w:val="-1"/>
          <w:sz w:val="24"/>
          <w:highlight w:val="none"/>
        </w:rPr>
        <w:t>采购人和采购代理机构向投标单位提供的有关现场的数据和资料，是现有的能被投标单位利用的资料，采购人和采购代理机构对投标单位做出的任何推论、理解和结论均</w:t>
      </w:r>
      <w:r>
        <w:rPr>
          <w:color w:val="auto"/>
          <w:sz w:val="24"/>
          <w:highlight w:val="none"/>
        </w:rPr>
        <w:t>不承担责任。</w:t>
      </w:r>
    </w:p>
    <w:p>
      <w:pPr>
        <w:pStyle w:val="25"/>
        <w:numPr>
          <w:ilvl w:val="3"/>
          <w:numId w:val="6"/>
        </w:numPr>
        <w:tabs>
          <w:tab w:val="left" w:pos="1674"/>
        </w:tabs>
        <w:spacing w:before="1" w:after="0" w:line="374" w:lineRule="auto"/>
        <w:ind w:left="232" w:right="238" w:firstLine="480"/>
        <w:jc w:val="both"/>
        <w:rPr>
          <w:color w:val="auto"/>
          <w:sz w:val="24"/>
          <w:highlight w:val="none"/>
        </w:rPr>
      </w:pPr>
      <w:r>
        <w:rPr>
          <w:color w:val="auto"/>
          <w:spacing w:val="-1"/>
          <w:sz w:val="24"/>
          <w:highlight w:val="none"/>
        </w:rPr>
        <w:t>经采购人允许，投标单位可为踏勘目的进入项目现场，但投标单位不得因此使</w:t>
      </w:r>
      <w:r>
        <w:rPr>
          <w:color w:val="auto"/>
          <w:sz w:val="24"/>
          <w:highlight w:val="none"/>
        </w:rPr>
        <w:t>采购人承担有关的责任和蒙受损失。投标单位应承担踏勘现场的责任和风险。</w:t>
      </w:r>
    </w:p>
    <w:p>
      <w:pPr>
        <w:pStyle w:val="6"/>
        <w:numPr>
          <w:ilvl w:val="0"/>
          <w:numId w:val="7"/>
        </w:numPr>
        <w:tabs>
          <w:tab w:val="left" w:pos="1080"/>
        </w:tabs>
        <w:spacing w:before="1" w:after="0" w:line="240" w:lineRule="auto"/>
        <w:ind w:left="1079" w:right="0" w:hanging="365"/>
        <w:jc w:val="left"/>
        <w:rPr>
          <w:color w:val="auto"/>
          <w:highlight w:val="none"/>
        </w:rPr>
      </w:pPr>
      <w:r>
        <w:rPr>
          <w:color w:val="auto"/>
          <w:highlight w:val="none"/>
        </w:rPr>
        <w:t>磋商费用</w:t>
      </w:r>
    </w:p>
    <w:p>
      <w:pPr>
        <w:pStyle w:val="7"/>
        <w:spacing w:before="172"/>
        <w:ind w:left="713"/>
        <w:rPr>
          <w:color w:val="auto"/>
          <w:highlight w:val="none"/>
        </w:rPr>
      </w:pPr>
      <w:r>
        <w:rPr>
          <w:color w:val="auto"/>
          <w:highlight w:val="none"/>
        </w:rPr>
        <w:t>投标单位应承担所有与准备和参加磋商有关的费用。</w:t>
      </w:r>
    </w:p>
    <w:p>
      <w:pPr>
        <w:pStyle w:val="7"/>
        <w:ind w:left="0"/>
        <w:rPr>
          <w:color w:val="auto"/>
          <w:sz w:val="20"/>
          <w:highlight w:val="none"/>
        </w:rPr>
      </w:pPr>
    </w:p>
    <w:p>
      <w:pPr>
        <w:pStyle w:val="7"/>
        <w:ind w:left="0"/>
        <w:rPr>
          <w:color w:val="auto"/>
          <w:sz w:val="18"/>
          <w:highlight w:val="none"/>
        </w:rPr>
      </w:pPr>
    </w:p>
    <w:p>
      <w:pPr>
        <w:pStyle w:val="4"/>
        <w:spacing w:before="58"/>
        <w:ind w:left="1460" w:right="859"/>
        <w:rPr>
          <w:color w:val="auto"/>
          <w:highlight w:val="none"/>
        </w:rPr>
      </w:pPr>
      <w:r>
        <w:rPr>
          <w:color w:val="auto"/>
          <w:w w:val="95"/>
          <w:highlight w:val="none"/>
        </w:rPr>
        <w:t>二、磋商文件</w:t>
      </w:r>
    </w:p>
    <w:p>
      <w:pPr>
        <w:pStyle w:val="6"/>
        <w:numPr>
          <w:ilvl w:val="0"/>
          <w:numId w:val="7"/>
        </w:numPr>
        <w:tabs>
          <w:tab w:val="left" w:pos="1080"/>
        </w:tabs>
        <w:spacing w:before="156" w:after="0" w:line="240" w:lineRule="auto"/>
        <w:ind w:left="1079" w:right="0" w:hanging="365"/>
        <w:jc w:val="left"/>
        <w:rPr>
          <w:color w:val="auto"/>
          <w:highlight w:val="none"/>
        </w:rPr>
      </w:pPr>
      <w:r>
        <w:rPr>
          <w:color w:val="auto"/>
          <w:highlight w:val="none"/>
        </w:rPr>
        <w:t>磋商文件构成</w:t>
      </w:r>
    </w:p>
    <w:p>
      <w:pPr>
        <w:pStyle w:val="7"/>
        <w:tabs>
          <w:tab w:val="left" w:pos="1673"/>
        </w:tabs>
        <w:spacing w:before="173" w:line="374" w:lineRule="auto"/>
        <w:ind w:left="713" w:right="6751"/>
        <w:rPr>
          <w:color w:val="auto"/>
          <w:highlight w:val="none"/>
        </w:rPr>
      </w:pPr>
      <w:r>
        <w:rPr>
          <w:color w:val="auto"/>
          <w:highlight w:val="none"/>
        </w:rPr>
        <w:t>磋商文件包括下列内容</w:t>
      </w:r>
      <w:r>
        <w:rPr>
          <w:color w:val="auto"/>
          <w:spacing w:val="-18"/>
          <w:highlight w:val="none"/>
        </w:rPr>
        <w:t xml:space="preserve">： </w:t>
      </w:r>
      <w:r>
        <w:rPr>
          <w:color w:val="auto"/>
          <w:highlight w:val="none"/>
        </w:rPr>
        <w:t>第一章</w:t>
      </w:r>
      <w:r>
        <w:rPr>
          <w:color w:val="auto"/>
          <w:highlight w:val="none"/>
        </w:rPr>
        <w:tab/>
      </w:r>
      <w:r>
        <w:rPr>
          <w:color w:val="auto"/>
          <w:highlight w:val="none"/>
        </w:rPr>
        <w:t>磋商公告</w:t>
      </w:r>
    </w:p>
    <w:p>
      <w:pPr>
        <w:pStyle w:val="7"/>
        <w:tabs>
          <w:tab w:val="left" w:pos="1673"/>
        </w:tabs>
        <w:ind w:left="713"/>
        <w:rPr>
          <w:color w:val="auto"/>
          <w:highlight w:val="none"/>
        </w:rPr>
      </w:pPr>
      <w:r>
        <w:rPr>
          <w:color w:val="auto"/>
          <w:highlight w:val="none"/>
        </w:rPr>
        <w:t>第二章</w:t>
      </w:r>
      <w:r>
        <w:rPr>
          <w:color w:val="auto"/>
          <w:highlight w:val="none"/>
        </w:rPr>
        <w:tab/>
      </w:r>
      <w:r>
        <w:rPr>
          <w:color w:val="auto"/>
          <w:highlight w:val="none"/>
        </w:rPr>
        <w:t>磋商须知</w:t>
      </w:r>
    </w:p>
    <w:p>
      <w:pPr>
        <w:spacing w:after="0"/>
        <w:rPr>
          <w:color w:val="auto"/>
          <w:highlight w:val="none"/>
        </w:rPr>
        <w:sectPr>
          <w:pgSz w:w="11910" w:h="16840"/>
          <w:pgMar w:top="1220" w:right="900" w:bottom="1200" w:left="900" w:header="0" w:footer="928" w:gutter="0"/>
        </w:sectPr>
      </w:pPr>
    </w:p>
    <w:p>
      <w:pPr>
        <w:pStyle w:val="7"/>
        <w:tabs>
          <w:tab w:val="left" w:pos="1673"/>
        </w:tabs>
        <w:spacing w:before="38"/>
        <w:ind w:left="713"/>
        <w:rPr>
          <w:color w:val="auto"/>
          <w:highlight w:val="none"/>
        </w:rPr>
      </w:pPr>
      <w:r>
        <w:rPr>
          <w:color w:val="auto"/>
          <w:highlight w:val="none"/>
        </w:rPr>
        <w:t>第三章</w:t>
      </w:r>
      <w:r>
        <w:rPr>
          <w:color w:val="auto"/>
          <w:highlight w:val="none"/>
        </w:rPr>
        <w:tab/>
      </w:r>
      <w:r>
        <w:rPr>
          <w:color w:val="auto"/>
          <w:highlight w:val="none"/>
        </w:rPr>
        <w:t>合同主要条款</w:t>
      </w:r>
    </w:p>
    <w:p>
      <w:pPr>
        <w:tabs>
          <w:tab w:val="left" w:pos="1673"/>
        </w:tabs>
        <w:spacing w:before="173" w:line="374" w:lineRule="auto"/>
        <w:ind w:left="713" w:right="5791" w:firstLine="0"/>
        <w:jc w:val="left"/>
        <w:rPr>
          <w:b/>
          <w:color w:val="auto"/>
          <w:sz w:val="24"/>
          <w:highlight w:val="none"/>
        </w:rPr>
      </w:pPr>
      <w:r>
        <w:rPr>
          <w:color w:val="auto"/>
          <w:sz w:val="24"/>
          <w:highlight w:val="none"/>
        </w:rPr>
        <w:t>第四章</w:t>
      </w:r>
      <w:r>
        <w:rPr>
          <w:color w:val="auto"/>
          <w:sz w:val="24"/>
          <w:highlight w:val="none"/>
        </w:rPr>
        <w:tab/>
      </w:r>
      <w:r>
        <w:rPr>
          <w:color w:val="auto"/>
          <w:sz w:val="24"/>
          <w:highlight w:val="none"/>
        </w:rPr>
        <w:t>工程范围及质量验收标</w:t>
      </w:r>
      <w:r>
        <w:rPr>
          <w:color w:val="auto"/>
          <w:spacing w:val="-18"/>
          <w:sz w:val="24"/>
          <w:highlight w:val="none"/>
        </w:rPr>
        <w:t>准</w:t>
      </w:r>
      <w:r>
        <w:rPr>
          <w:color w:val="auto"/>
          <w:sz w:val="24"/>
          <w:highlight w:val="none"/>
        </w:rPr>
        <w:t>第五章</w:t>
      </w:r>
      <w:r>
        <w:rPr>
          <w:color w:val="auto"/>
          <w:sz w:val="24"/>
          <w:highlight w:val="none"/>
        </w:rPr>
        <w:tab/>
      </w:r>
      <w:r>
        <w:rPr>
          <w:color w:val="auto"/>
          <w:sz w:val="24"/>
          <w:highlight w:val="none"/>
        </w:rPr>
        <w:t>磋商响应文件基本格式</w:t>
      </w:r>
      <w:r>
        <w:rPr>
          <w:b/>
          <w:color w:val="auto"/>
          <w:sz w:val="24"/>
          <w:highlight w:val="none"/>
        </w:rPr>
        <w:t>5．磋商文件的澄清和修改</w:t>
      </w:r>
    </w:p>
    <w:p>
      <w:pPr>
        <w:pStyle w:val="25"/>
        <w:numPr>
          <w:ilvl w:val="1"/>
          <w:numId w:val="8"/>
        </w:numPr>
        <w:tabs>
          <w:tab w:val="left" w:pos="1194"/>
        </w:tabs>
        <w:spacing w:before="1" w:after="0" w:line="374" w:lineRule="auto"/>
        <w:ind w:left="232" w:right="231" w:firstLine="480"/>
        <w:jc w:val="both"/>
        <w:rPr>
          <w:color w:val="auto"/>
          <w:sz w:val="24"/>
          <w:highlight w:val="none"/>
        </w:rPr>
      </w:pPr>
      <w:r>
        <w:rPr>
          <w:color w:val="auto"/>
          <w:sz w:val="24"/>
          <w:highlight w:val="none"/>
        </w:rPr>
        <w:t>提交首次响应文件截止之日前，招标采购单位可以对已发出的磋商文件进行必要的澄清或者修改，澄清或者修改的内容作为磋商文件的组成部分。澄清或者修改的内容可能影</w:t>
      </w:r>
      <w:r>
        <w:rPr>
          <w:color w:val="auto"/>
          <w:spacing w:val="-2"/>
          <w:sz w:val="24"/>
          <w:highlight w:val="none"/>
        </w:rPr>
        <w:t xml:space="preserve">响响应文件编制的，招标采购单位在提交首次文件截止时间 </w:t>
      </w:r>
      <w:r>
        <w:rPr>
          <w:color w:val="auto"/>
          <w:sz w:val="24"/>
          <w:highlight w:val="none"/>
        </w:rPr>
        <w:t>5</w:t>
      </w:r>
      <w:r>
        <w:rPr>
          <w:color w:val="auto"/>
          <w:spacing w:val="-8"/>
          <w:sz w:val="24"/>
          <w:highlight w:val="none"/>
        </w:rPr>
        <w:t xml:space="preserve"> 日前，以书面形式通知所有获</w:t>
      </w:r>
      <w:r>
        <w:rPr>
          <w:color w:val="auto"/>
          <w:spacing w:val="-3"/>
          <w:sz w:val="24"/>
          <w:highlight w:val="none"/>
        </w:rPr>
        <w:t xml:space="preserve">取磋商文件的投标单位；不足 </w:t>
      </w:r>
      <w:r>
        <w:rPr>
          <w:color w:val="auto"/>
          <w:sz w:val="24"/>
          <w:highlight w:val="none"/>
        </w:rPr>
        <w:t>5</w:t>
      </w:r>
      <w:r>
        <w:rPr>
          <w:color w:val="auto"/>
          <w:spacing w:val="-8"/>
          <w:sz w:val="24"/>
          <w:highlight w:val="none"/>
        </w:rPr>
        <w:t xml:space="preserve"> 日的，采购人、采购代理机构应当顺延提交首次响应文件截</w:t>
      </w:r>
      <w:r>
        <w:rPr>
          <w:color w:val="auto"/>
          <w:sz w:val="24"/>
          <w:highlight w:val="none"/>
        </w:rPr>
        <w:t>止时间。</w:t>
      </w:r>
    </w:p>
    <w:p>
      <w:pPr>
        <w:pStyle w:val="25"/>
        <w:numPr>
          <w:ilvl w:val="1"/>
          <w:numId w:val="8"/>
        </w:numPr>
        <w:tabs>
          <w:tab w:val="left" w:pos="1194"/>
        </w:tabs>
        <w:spacing w:before="2" w:after="0" w:line="374" w:lineRule="auto"/>
        <w:ind w:left="232" w:right="231" w:firstLine="480"/>
        <w:jc w:val="both"/>
        <w:rPr>
          <w:color w:val="auto"/>
          <w:sz w:val="24"/>
          <w:highlight w:val="none"/>
        </w:rPr>
      </w:pPr>
      <w:r>
        <w:rPr>
          <w:color w:val="auto"/>
          <w:spacing w:val="-2"/>
          <w:sz w:val="24"/>
          <w:highlight w:val="none"/>
        </w:rPr>
        <w:t xml:space="preserve">任何要求对磋商文件进行澄清的投标单位均应在响应文件递交截止期 </w:t>
      </w:r>
      <w:r>
        <w:rPr>
          <w:color w:val="auto"/>
          <w:sz w:val="24"/>
          <w:highlight w:val="none"/>
        </w:rPr>
        <w:t>3</w:t>
      </w:r>
      <w:r>
        <w:rPr>
          <w:color w:val="auto"/>
          <w:spacing w:val="-10"/>
          <w:sz w:val="24"/>
          <w:highlight w:val="none"/>
        </w:rPr>
        <w:t xml:space="preserve"> 日前以书面</w:t>
      </w:r>
      <w:r>
        <w:rPr>
          <w:color w:val="auto"/>
          <w:sz w:val="24"/>
          <w:highlight w:val="none"/>
        </w:rPr>
        <w:t>形式通知采购代理机构，采购代理机构对投标单位所要求澄清的内容以书面形式予以答复。投标单位在规定的时间内未要求对磋商文件澄清或提出疑问的，将视其为无异议。对磋商文件中描述有歧义或前后不一致的地方，磋商小组有权进行评判，但对同一条款的评判应适用于每个投标单位。</w:t>
      </w:r>
    </w:p>
    <w:p>
      <w:pPr>
        <w:pStyle w:val="25"/>
        <w:numPr>
          <w:ilvl w:val="1"/>
          <w:numId w:val="8"/>
        </w:numPr>
        <w:tabs>
          <w:tab w:val="left" w:pos="1194"/>
        </w:tabs>
        <w:spacing w:before="2" w:after="0" w:line="374" w:lineRule="auto"/>
        <w:ind w:left="232" w:right="232" w:firstLine="480"/>
        <w:jc w:val="both"/>
        <w:rPr>
          <w:color w:val="auto"/>
          <w:sz w:val="24"/>
          <w:highlight w:val="none"/>
        </w:rPr>
      </w:pPr>
      <w:r>
        <w:rPr>
          <w:color w:val="auto"/>
          <w:sz w:val="24"/>
          <w:highlight w:val="none"/>
        </w:rPr>
        <w:t>采购代理机构对磋商文件的修改将以书面形式发给所有磋商文件收受人，该修改书</w:t>
      </w:r>
      <w:r>
        <w:rPr>
          <w:color w:val="auto"/>
          <w:spacing w:val="-4"/>
          <w:sz w:val="24"/>
          <w:highlight w:val="none"/>
        </w:rPr>
        <w:t>将构成磋商文件的一部分,对投标单位有约束力。投标单位在收到通知后应立即以电话、电子</w:t>
      </w:r>
      <w:r>
        <w:rPr>
          <w:color w:val="auto"/>
          <w:sz w:val="24"/>
          <w:highlight w:val="none"/>
        </w:rPr>
        <w:t>邮件或其他书面形式予以确认。</w:t>
      </w:r>
    </w:p>
    <w:p>
      <w:pPr>
        <w:pStyle w:val="25"/>
        <w:numPr>
          <w:ilvl w:val="1"/>
          <w:numId w:val="8"/>
        </w:numPr>
        <w:tabs>
          <w:tab w:val="left" w:pos="1194"/>
        </w:tabs>
        <w:spacing w:before="1" w:after="0" w:line="374" w:lineRule="auto"/>
        <w:ind w:left="232" w:right="240" w:firstLine="480"/>
        <w:jc w:val="both"/>
        <w:rPr>
          <w:color w:val="auto"/>
          <w:sz w:val="24"/>
          <w:highlight w:val="none"/>
        </w:rPr>
      </w:pPr>
      <w:r>
        <w:rPr>
          <w:color w:val="auto"/>
          <w:spacing w:val="-1"/>
          <w:sz w:val="24"/>
          <w:highlight w:val="none"/>
        </w:rPr>
        <w:t>在磋商过程中，磋商文件如有实质性变动的，磋商小组应当以书面形式通知所有参</w:t>
      </w:r>
      <w:r>
        <w:rPr>
          <w:color w:val="auto"/>
          <w:sz w:val="24"/>
          <w:highlight w:val="none"/>
        </w:rPr>
        <w:t>加磋商的投标单位。</w:t>
      </w:r>
    </w:p>
    <w:p>
      <w:pPr>
        <w:pStyle w:val="25"/>
        <w:numPr>
          <w:ilvl w:val="1"/>
          <w:numId w:val="8"/>
        </w:numPr>
        <w:tabs>
          <w:tab w:val="left" w:pos="1194"/>
        </w:tabs>
        <w:spacing w:before="0" w:after="0" w:line="374" w:lineRule="auto"/>
        <w:ind w:left="232" w:right="240" w:firstLine="480"/>
        <w:jc w:val="both"/>
        <w:rPr>
          <w:color w:val="auto"/>
          <w:sz w:val="24"/>
          <w:highlight w:val="none"/>
        </w:rPr>
      </w:pPr>
      <w:r>
        <w:rPr>
          <w:color w:val="auto"/>
          <w:spacing w:val="-1"/>
          <w:sz w:val="24"/>
          <w:highlight w:val="none"/>
        </w:rPr>
        <w:t>招标采购单位可以视采购具体情况，延长磋商文件提交截止时间和磋商时间，并将</w:t>
      </w:r>
      <w:r>
        <w:rPr>
          <w:color w:val="auto"/>
          <w:sz w:val="24"/>
          <w:highlight w:val="none"/>
        </w:rPr>
        <w:t>变更时间书面通知所有磋商文件收受人。</w:t>
      </w:r>
    </w:p>
    <w:p>
      <w:pPr>
        <w:pStyle w:val="25"/>
        <w:numPr>
          <w:ilvl w:val="0"/>
          <w:numId w:val="9"/>
        </w:numPr>
        <w:tabs>
          <w:tab w:val="left" w:pos="955"/>
        </w:tabs>
        <w:spacing w:before="1" w:after="0" w:line="240" w:lineRule="auto"/>
        <w:ind w:left="954" w:right="0" w:hanging="242"/>
        <w:jc w:val="left"/>
        <w:rPr>
          <w:color w:val="auto"/>
          <w:sz w:val="22"/>
          <w:highlight w:val="none"/>
        </w:rPr>
      </w:pPr>
      <w:r>
        <w:rPr>
          <w:color w:val="auto"/>
          <w:sz w:val="24"/>
          <w:highlight w:val="none"/>
        </w:rPr>
        <w:t>磋商文件的解释权归采购人及采购代理机构。</w:t>
      </w:r>
    </w:p>
    <w:p>
      <w:pPr>
        <w:pStyle w:val="7"/>
        <w:ind w:left="0"/>
        <w:rPr>
          <w:color w:val="auto"/>
          <w:highlight w:val="none"/>
        </w:rPr>
      </w:pPr>
    </w:p>
    <w:p>
      <w:pPr>
        <w:pStyle w:val="7"/>
        <w:ind w:left="0"/>
        <w:rPr>
          <w:color w:val="auto"/>
          <w:highlight w:val="none"/>
        </w:rPr>
      </w:pPr>
    </w:p>
    <w:p>
      <w:pPr>
        <w:pStyle w:val="7"/>
        <w:spacing w:before="3"/>
        <w:ind w:left="0"/>
        <w:rPr>
          <w:color w:val="auto"/>
          <w:highlight w:val="none"/>
        </w:rPr>
      </w:pPr>
    </w:p>
    <w:p>
      <w:pPr>
        <w:pStyle w:val="4"/>
        <w:spacing w:before="1"/>
        <w:ind w:right="2"/>
        <w:rPr>
          <w:color w:val="auto"/>
          <w:highlight w:val="none"/>
        </w:rPr>
      </w:pPr>
      <w:bookmarkStart w:id="2" w:name="三、响应文件的编制"/>
      <w:bookmarkEnd w:id="2"/>
      <w:r>
        <w:rPr>
          <w:color w:val="auto"/>
          <w:highlight w:val="none"/>
        </w:rPr>
        <w:t>三、响应文件的编制</w:t>
      </w:r>
    </w:p>
    <w:p>
      <w:pPr>
        <w:pStyle w:val="7"/>
        <w:spacing w:before="12"/>
        <w:ind w:left="0"/>
        <w:rPr>
          <w:b/>
          <w:color w:val="auto"/>
          <w:sz w:val="32"/>
          <w:highlight w:val="none"/>
        </w:rPr>
      </w:pPr>
    </w:p>
    <w:p>
      <w:pPr>
        <w:pStyle w:val="6"/>
        <w:keepNext w:val="0"/>
        <w:keepLines w:val="0"/>
        <w:pageBreakBefore w:val="0"/>
        <w:widowControl w:val="0"/>
        <w:numPr>
          <w:ilvl w:val="0"/>
          <w:numId w:val="9"/>
        </w:numPr>
        <w:tabs>
          <w:tab w:val="left" w:pos="1080"/>
        </w:tabs>
        <w:kinsoku/>
        <w:wordWrap/>
        <w:overflowPunct/>
        <w:topLinePunct w:val="0"/>
        <w:autoSpaceDE w:val="0"/>
        <w:autoSpaceDN w:val="0"/>
        <w:bidi w:val="0"/>
        <w:adjustRightInd/>
        <w:snapToGrid/>
        <w:spacing w:before="0" w:after="0" w:line="390" w:lineRule="exact"/>
        <w:ind w:left="1079" w:right="0" w:hanging="365"/>
        <w:jc w:val="left"/>
        <w:textAlignment w:val="auto"/>
        <w:rPr>
          <w:color w:val="auto"/>
          <w:sz w:val="22"/>
          <w:highlight w:val="none"/>
        </w:rPr>
      </w:pPr>
      <w:r>
        <w:rPr>
          <w:color w:val="auto"/>
          <w:highlight w:val="none"/>
        </w:rPr>
        <w:t>编制要求</w:t>
      </w:r>
    </w:p>
    <w:p>
      <w:pPr>
        <w:pStyle w:val="25"/>
        <w:keepNext w:val="0"/>
        <w:keepLines w:val="0"/>
        <w:pageBreakBefore w:val="0"/>
        <w:widowControl w:val="0"/>
        <w:numPr>
          <w:ilvl w:val="1"/>
          <w:numId w:val="9"/>
        </w:numPr>
        <w:tabs>
          <w:tab w:val="left" w:pos="1194"/>
        </w:tabs>
        <w:kinsoku/>
        <w:wordWrap/>
        <w:overflowPunct/>
        <w:topLinePunct w:val="0"/>
        <w:autoSpaceDE w:val="0"/>
        <w:autoSpaceDN w:val="0"/>
        <w:bidi w:val="0"/>
        <w:adjustRightInd/>
        <w:snapToGrid/>
        <w:spacing w:before="173" w:after="0" w:line="390" w:lineRule="exact"/>
        <w:ind w:left="232" w:right="238" w:firstLine="480"/>
        <w:jc w:val="both"/>
        <w:textAlignment w:val="auto"/>
        <w:rPr>
          <w:color w:val="auto"/>
          <w:sz w:val="24"/>
          <w:highlight w:val="none"/>
        </w:rPr>
      </w:pPr>
      <w:r>
        <w:rPr>
          <w:color w:val="auto"/>
          <w:spacing w:val="-1"/>
          <w:sz w:val="24"/>
          <w:highlight w:val="none"/>
        </w:rPr>
        <w:t>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w:t>
      </w:r>
    </w:p>
    <w:p>
      <w:pPr>
        <w:keepNext w:val="0"/>
        <w:keepLines w:val="0"/>
        <w:pageBreakBefore w:val="0"/>
        <w:widowControl w:val="0"/>
        <w:kinsoku/>
        <w:wordWrap/>
        <w:overflowPunct/>
        <w:topLinePunct w:val="0"/>
        <w:autoSpaceDE w:val="0"/>
        <w:autoSpaceDN w:val="0"/>
        <w:bidi w:val="0"/>
        <w:adjustRightInd/>
        <w:snapToGrid/>
        <w:spacing w:after="0" w:line="390" w:lineRule="exact"/>
        <w:jc w:val="both"/>
        <w:textAlignment w:val="auto"/>
        <w:rPr>
          <w:color w:val="auto"/>
          <w:sz w:val="24"/>
          <w:highlight w:val="none"/>
        </w:rPr>
        <w:sectPr>
          <w:pgSz w:w="11910" w:h="16840"/>
          <w:pgMar w:top="1220" w:right="900" w:bottom="1200" w:left="900" w:header="0" w:footer="928" w:gutter="0"/>
        </w:sectPr>
      </w:pPr>
    </w:p>
    <w:p>
      <w:pPr>
        <w:pStyle w:val="7"/>
        <w:keepNext w:val="0"/>
        <w:keepLines w:val="0"/>
        <w:pageBreakBefore w:val="0"/>
        <w:widowControl w:val="0"/>
        <w:kinsoku/>
        <w:wordWrap/>
        <w:overflowPunct/>
        <w:topLinePunct w:val="0"/>
        <w:autoSpaceDE w:val="0"/>
        <w:autoSpaceDN w:val="0"/>
        <w:bidi w:val="0"/>
        <w:adjustRightInd/>
        <w:snapToGrid/>
        <w:spacing w:before="38" w:line="390" w:lineRule="exact"/>
        <w:textAlignment w:val="auto"/>
        <w:rPr>
          <w:color w:val="auto"/>
          <w:highlight w:val="none"/>
        </w:rPr>
      </w:pPr>
      <w:r>
        <w:rPr>
          <w:color w:val="auto"/>
          <w:highlight w:val="none"/>
        </w:rPr>
        <w:t>各方面都做出实质性响应，其投标将按废标处理。</w:t>
      </w:r>
    </w:p>
    <w:p>
      <w:pPr>
        <w:pStyle w:val="25"/>
        <w:keepNext w:val="0"/>
        <w:keepLines w:val="0"/>
        <w:pageBreakBefore w:val="0"/>
        <w:widowControl w:val="0"/>
        <w:numPr>
          <w:ilvl w:val="1"/>
          <w:numId w:val="9"/>
        </w:numPr>
        <w:tabs>
          <w:tab w:val="left" w:pos="1194"/>
        </w:tabs>
        <w:kinsoku/>
        <w:wordWrap/>
        <w:overflowPunct/>
        <w:topLinePunct w:val="0"/>
        <w:autoSpaceDE w:val="0"/>
        <w:autoSpaceDN w:val="0"/>
        <w:bidi w:val="0"/>
        <w:adjustRightInd/>
        <w:snapToGrid/>
        <w:spacing w:before="173" w:after="0" w:line="390" w:lineRule="exact"/>
        <w:ind w:left="232" w:right="240" w:firstLine="480"/>
        <w:jc w:val="left"/>
        <w:textAlignment w:val="auto"/>
        <w:rPr>
          <w:color w:val="auto"/>
          <w:sz w:val="24"/>
          <w:highlight w:val="none"/>
        </w:rPr>
      </w:pPr>
      <w:r>
        <w:rPr>
          <w:color w:val="auto"/>
          <w:spacing w:val="-1"/>
          <w:sz w:val="24"/>
          <w:highlight w:val="none"/>
        </w:rPr>
        <w:t>投标单位提交的响应文件以及投标单位与采购代理机构就有关磋商的所有来往函电</w:t>
      </w:r>
      <w:r>
        <w:rPr>
          <w:color w:val="auto"/>
          <w:sz w:val="24"/>
          <w:highlight w:val="none"/>
        </w:rPr>
        <w:t>均应以中文书写</w:t>
      </w:r>
      <w:r>
        <w:rPr>
          <w:color w:val="auto"/>
          <w:sz w:val="28"/>
          <w:highlight w:val="none"/>
        </w:rPr>
        <w:t>。</w:t>
      </w:r>
    </w:p>
    <w:p>
      <w:pPr>
        <w:pStyle w:val="6"/>
        <w:keepNext w:val="0"/>
        <w:keepLines w:val="0"/>
        <w:pageBreakBefore w:val="0"/>
        <w:widowControl w:val="0"/>
        <w:numPr>
          <w:ilvl w:val="0"/>
          <w:numId w:val="9"/>
        </w:numPr>
        <w:tabs>
          <w:tab w:val="left" w:pos="1080"/>
        </w:tabs>
        <w:kinsoku/>
        <w:wordWrap/>
        <w:overflowPunct/>
        <w:topLinePunct w:val="0"/>
        <w:autoSpaceDE w:val="0"/>
        <w:autoSpaceDN w:val="0"/>
        <w:bidi w:val="0"/>
        <w:adjustRightInd/>
        <w:snapToGrid/>
        <w:spacing w:before="7" w:after="0" w:line="390" w:lineRule="exact"/>
        <w:ind w:left="1079" w:right="0" w:hanging="365"/>
        <w:jc w:val="left"/>
        <w:textAlignment w:val="auto"/>
        <w:rPr>
          <w:color w:val="auto"/>
          <w:sz w:val="22"/>
          <w:highlight w:val="none"/>
        </w:rPr>
      </w:pPr>
      <w:r>
        <w:rPr>
          <w:color w:val="auto"/>
          <w:highlight w:val="none"/>
        </w:rPr>
        <w:t>响应文件构成和格式</w:t>
      </w:r>
    </w:p>
    <w:p>
      <w:pPr>
        <w:pStyle w:val="25"/>
        <w:keepNext w:val="0"/>
        <w:keepLines w:val="0"/>
        <w:pageBreakBefore w:val="0"/>
        <w:widowControl w:val="0"/>
        <w:numPr>
          <w:ilvl w:val="1"/>
          <w:numId w:val="9"/>
        </w:numPr>
        <w:tabs>
          <w:tab w:val="left" w:pos="1194"/>
        </w:tabs>
        <w:kinsoku/>
        <w:wordWrap/>
        <w:overflowPunct/>
        <w:topLinePunct w:val="0"/>
        <w:autoSpaceDE w:val="0"/>
        <w:autoSpaceDN w:val="0"/>
        <w:bidi w:val="0"/>
        <w:adjustRightInd/>
        <w:snapToGrid/>
        <w:spacing w:before="173" w:after="0" w:line="390" w:lineRule="exact"/>
        <w:ind w:left="232" w:right="240" w:firstLine="480"/>
        <w:jc w:val="left"/>
        <w:textAlignment w:val="auto"/>
        <w:rPr>
          <w:color w:val="auto"/>
          <w:sz w:val="24"/>
          <w:highlight w:val="none"/>
        </w:rPr>
      </w:pPr>
      <w:r>
        <w:rPr>
          <w:color w:val="auto"/>
          <w:spacing w:val="-1"/>
          <w:sz w:val="24"/>
          <w:highlight w:val="none"/>
        </w:rPr>
        <w:t>投标单位编写的响应文件应包括下列部分，请按磋商文件提供的相应格式并依照下</w:t>
      </w:r>
      <w:r>
        <w:rPr>
          <w:color w:val="auto"/>
          <w:sz w:val="24"/>
          <w:highlight w:val="none"/>
        </w:rPr>
        <w:t>列顺序编写：</w:t>
      </w:r>
    </w:p>
    <w:p>
      <w:pPr>
        <w:pStyle w:val="7"/>
        <w:keepNext w:val="0"/>
        <w:keepLines w:val="0"/>
        <w:pageBreakBefore w:val="0"/>
        <w:widowControl w:val="0"/>
        <w:kinsoku/>
        <w:wordWrap/>
        <w:overflowPunct/>
        <w:topLinePunct w:val="0"/>
        <w:autoSpaceDE w:val="0"/>
        <w:autoSpaceDN w:val="0"/>
        <w:bidi w:val="0"/>
        <w:adjustRightInd/>
        <w:snapToGrid/>
        <w:spacing w:line="390" w:lineRule="exact"/>
        <w:ind w:left="714"/>
        <w:textAlignment w:val="auto"/>
        <w:rPr>
          <w:color w:val="auto"/>
          <w:highlight w:val="none"/>
        </w:rPr>
      </w:pPr>
      <w:r>
        <w:rPr>
          <w:color w:val="auto"/>
          <w:highlight w:val="none"/>
        </w:rPr>
        <w:t>①响应函</w:t>
      </w:r>
    </w:p>
    <w:p>
      <w:pPr>
        <w:pStyle w:val="7"/>
        <w:keepNext w:val="0"/>
        <w:keepLines w:val="0"/>
        <w:pageBreakBefore w:val="0"/>
        <w:widowControl w:val="0"/>
        <w:kinsoku/>
        <w:wordWrap/>
        <w:overflowPunct/>
        <w:topLinePunct w:val="0"/>
        <w:autoSpaceDE w:val="0"/>
        <w:autoSpaceDN w:val="0"/>
        <w:bidi w:val="0"/>
        <w:adjustRightInd/>
        <w:snapToGrid/>
        <w:spacing w:before="173" w:line="390" w:lineRule="exact"/>
        <w:ind w:left="714"/>
        <w:textAlignment w:val="auto"/>
        <w:rPr>
          <w:color w:val="auto"/>
          <w:highlight w:val="none"/>
        </w:rPr>
      </w:pPr>
      <w:r>
        <w:rPr>
          <w:color w:val="auto"/>
          <w:highlight w:val="none"/>
        </w:rPr>
        <w:t>②法定代表人授权委托书</w:t>
      </w:r>
    </w:p>
    <w:p>
      <w:pPr>
        <w:pStyle w:val="7"/>
        <w:keepNext w:val="0"/>
        <w:keepLines w:val="0"/>
        <w:pageBreakBefore w:val="0"/>
        <w:widowControl w:val="0"/>
        <w:kinsoku/>
        <w:wordWrap/>
        <w:overflowPunct/>
        <w:topLinePunct w:val="0"/>
        <w:autoSpaceDE w:val="0"/>
        <w:autoSpaceDN w:val="0"/>
        <w:bidi w:val="0"/>
        <w:adjustRightInd/>
        <w:snapToGrid/>
        <w:spacing w:before="172" w:line="390" w:lineRule="exact"/>
        <w:ind w:left="714"/>
        <w:textAlignment w:val="auto"/>
        <w:rPr>
          <w:color w:val="auto"/>
          <w:highlight w:val="none"/>
        </w:rPr>
      </w:pPr>
      <w:r>
        <w:rPr>
          <w:color w:val="auto"/>
          <w:highlight w:val="none"/>
        </w:rPr>
        <w:t>③报价一览表</w:t>
      </w:r>
    </w:p>
    <w:p>
      <w:pPr>
        <w:pStyle w:val="7"/>
        <w:keepNext w:val="0"/>
        <w:keepLines w:val="0"/>
        <w:pageBreakBefore w:val="0"/>
        <w:widowControl w:val="0"/>
        <w:kinsoku/>
        <w:wordWrap/>
        <w:overflowPunct/>
        <w:topLinePunct w:val="0"/>
        <w:autoSpaceDE w:val="0"/>
        <w:autoSpaceDN w:val="0"/>
        <w:bidi w:val="0"/>
        <w:adjustRightInd/>
        <w:snapToGrid/>
        <w:spacing w:before="173" w:line="390" w:lineRule="exact"/>
        <w:ind w:left="714"/>
        <w:textAlignment w:val="auto"/>
        <w:rPr>
          <w:color w:val="auto"/>
          <w:highlight w:val="none"/>
        </w:rPr>
      </w:pPr>
      <w:r>
        <w:rPr>
          <w:color w:val="auto"/>
          <w:highlight w:val="none"/>
        </w:rPr>
        <w:t>④已标价工程量清单</w:t>
      </w:r>
    </w:p>
    <w:p>
      <w:pPr>
        <w:pStyle w:val="7"/>
        <w:keepNext w:val="0"/>
        <w:keepLines w:val="0"/>
        <w:pageBreakBefore w:val="0"/>
        <w:widowControl w:val="0"/>
        <w:kinsoku/>
        <w:wordWrap/>
        <w:overflowPunct/>
        <w:topLinePunct w:val="0"/>
        <w:autoSpaceDE w:val="0"/>
        <w:autoSpaceDN w:val="0"/>
        <w:bidi w:val="0"/>
        <w:adjustRightInd/>
        <w:snapToGrid/>
        <w:spacing w:before="173" w:line="390" w:lineRule="exact"/>
        <w:ind w:left="714"/>
        <w:textAlignment w:val="auto"/>
        <w:rPr>
          <w:color w:val="auto"/>
          <w:highlight w:val="none"/>
        </w:rPr>
      </w:pPr>
      <w:r>
        <w:rPr>
          <w:color w:val="auto"/>
          <w:highlight w:val="none"/>
        </w:rPr>
        <w:t>⑤</w:t>
      </w:r>
      <w:r>
        <w:rPr>
          <w:rFonts w:hint="eastAsia"/>
          <w:color w:val="auto"/>
          <w:highlight w:val="none"/>
          <w:lang w:eastAsia="zh-CN"/>
        </w:rPr>
        <w:t>投标单位</w:t>
      </w:r>
      <w:r>
        <w:rPr>
          <w:color w:val="auto"/>
          <w:highlight w:val="none"/>
        </w:rPr>
        <w:t>资格证明文件</w:t>
      </w:r>
    </w:p>
    <w:p>
      <w:pPr>
        <w:pStyle w:val="7"/>
        <w:keepNext w:val="0"/>
        <w:keepLines w:val="0"/>
        <w:pageBreakBefore w:val="0"/>
        <w:widowControl w:val="0"/>
        <w:kinsoku/>
        <w:wordWrap/>
        <w:overflowPunct/>
        <w:topLinePunct w:val="0"/>
        <w:autoSpaceDE w:val="0"/>
        <w:autoSpaceDN w:val="0"/>
        <w:bidi w:val="0"/>
        <w:adjustRightInd/>
        <w:snapToGrid/>
        <w:spacing w:before="172" w:line="390" w:lineRule="exact"/>
        <w:ind w:left="714"/>
        <w:textAlignment w:val="auto"/>
        <w:rPr>
          <w:color w:val="auto"/>
          <w:highlight w:val="none"/>
        </w:rPr>
      </w:pPr>
      <w:r>
        <w:rPr>
          <w:color w:val="auto"/>
          <w:highlight w:val="none"/>
        </w:rPr>
        <w:t>⑥商务响应偏离表</w:t>
      </w:r>
    </w:p>
    <w:p>
      <w:pPr>
        <w:pStyle w:val="7"/>
        <w:keepNext w:val="0"/>
        <w:keepLines w:val="0"/>
        <w:pageBreakBefore w:val="0"/>
        <w:widowControl w:val="0"/>
        <w:kinsoku/>
        <w:wordWrap/>
        <w:overflowPunct/>
        <w:topLinePunct w:val="0"/>
        <w:autoSpaceDE w:val="0"/>
        <w:autoSpaceDN w:val="0"/>
        <w:bidi w:val="0"/>
        <w:adjustRightInd/>
        <w:snapToGrid/>
        <w:spacing w:before="173" w:line="390" w:lineRule="exact"/>
        <w:ind w:left="714"/>
        <w:textAlignment w:val="auto"/>
        <w:rPr>
          <w:color w:val="auto"/>
          <w:highlight w:val="none"/>
        </w:rPr>
      </w:pPr>
      <w:r>
        <w:rPr>
          <w:color w:val="auto"/>
          <w:highlight w:val="none"/>
        </w:rPr>
        <w:t>⑦投标方案</w:t>
      </w:r>
    </w:p>
    <w:p>
      <w:pPr>
        <w:pStyle w:val="7"/>
        <w:keepNext w:val="0"/>
        <w:keepLines w:val="0"/>
        <w:pageBreakBefore w:val="0"/>
        <w:widowControl w:val="0"/>
        <w:kinsoku/>
        <w:wordWrap/>
        <w:overflowPunct/>
        <w:topLinePunct w:val="0"/>
        <w:autoSpaceDE w:val="0"/>
        <w:autoSpaceDN w:val="0"/>
        <w:bidi w:val="0"/>
        <w:adjustRightInd/>
        <w:snapToGrid/>
        <w:spacing w:before="172" w:line="390" w:lineRule="exact"/>
        <w:ind w:left="714"/>
        <w:textAlignment w:val="auto"/>
        <w:rPr>
          <w:color w:val="auto"/>
          <w:highlight w:val="none"/>
        </w:rPr>
      </w:pPr>
      <w:r>
        <w:rPr>
          <w:color w:val="auto"/>
          <w:highlight w:val="none"/>
        </w:rPr>
        <w:t>⑧供应商业绩</w:t>
      </w:r>
    </w:p>
    <w:p>
      <w:pPr>
        <w:pStyle w:val="7"/>
        <w:keepNext w:val="0"/>
        <w:keepLines w:val="0"/>
        <w:pageBreakBefore w:val="0"/>
        <w:widowControl w:val="0"/>
        <w:kinsoku/>
        <w:wordWrap/>
        <w:overflowPunct/>
        <w:topLinePunct w:val="0"/>
        <w:autoSpaceDE w:val="0"/>
        <w:autoSpaceDN w:val="0"/>
        <w:bidi w:val="0"/>
        <w:adjustRightInd/>
        <w:snapToGrid/>
        <w:spacing w:before="173" w:line="390" w:lineRule="exact"/>
        <w:ind w:left="714"/>
        <w:textAlignment w:val="auto"/>
        <w:rPr>
          <w:color w:val="auto"/>
          <w:highlight w:val="none"/>
        </w:rPr>
      </w:pPr>
      <w:r>
        <w:rPr>
          <w:color w:val="auto"/>
          <w:highlight w:val="none"/>
        </w:rPr>
        <w:t>⑨投标单位拒绝政府采购领域商业贿赂承诺书</w:t>
      </w:r>
    </w:p>
    <w:p>
      <w:pPr>
        <w:pStyle w:val="25"/>
        <w:keepNext w:val="0"/>
        <w:keepLines w:val="0"/>
        <w:pageBreakBefore w:val="0"/>
        <w:widowControl w:val="0"/>
        <w:numPr>
          <w:ilvl w:val="1"/>
          <w:numId w:val="9"/>
        </w:numPr>
        <w:tabs>
          <w:tab w:val="left" w:pos="1194"/>
        </w:tabs>
        <w:kinsoku/>
        <w:wordWrap/>
        <w:overflowPunct/>
        <w:topLinePunct w:val="0"/>
        <w:autoSpaceDE w:val="0"/>
        <w:autoSpaceDN w:val="0"/>
        <w:bidi w:val="0"/>
        <w:adjustRightInd/>
        <w:snapToGrid/>
        <w:spacing w:before="172" w:after="0" w:line="390" w:lineRule="exact"/>
        <w:ind w:left="232" w:right="232" w:firstLine="480"/>
        <w:jc w:val="left"/>
        <w:textAlignment w:val="auto"/>
        <w:rPr>
          <w:color w:val="auto"/>
          <w:sz w:val="24"/>
          <w:highlight w:val="none"/>
        </w:rPr>
      </w:pPr>
      <w:r>
        <w:rPr>
          <w:color w:val="auto"/>
          <w:spacing w:val="-4"/>
          <w:sz w:val="24"/>
          <w:highlight w:val="none"/>
        </w:rPr>
        <w:t xml:space="preserve">投标单位应按照本须知第 </w:t>
      </w:r>
      <w:r>
        <w:rPr>
          <w:color w:val="auto"/>
          <w:sz w:val="24"/>
          <w:highlight w:val="none"/>
        </w:rPr>
        <w:t>8.1</w:t>
      </w:r>
      <w:r>
        <w:rPr>
          <w:color w:val="auto"/>
          <w:spacing w:val="-8"/>
          <w:sz w:val="24"/>
          <w:highlight w:val="none"/>
        </w:rPr>
        <w:t xml:space="preserve"> 条的内容及第五章提供的格式编写响应文件，不得缺</w:t>
      </w:r>
      <w:r>
        <w:rPr>
          <w:color w:val="auto"/>
          <w:sz w:val="24"/>
          <w:highlight w:val="none"/>
        </w:rPr>
        <w:t>少磋商文件要求填写的表格或提交的资料。</w:t>
      </w:r>
    </w:p>
    <w:p>
      <w:pPr>
        <w:pStyle w:val="25"/>
        <w:keepNext w:val="0"/>
        <w:keepLines w:val="0"/>
        <w:pageBreakBefore w:val="0"/>
        <w:widowControl w:val="0"/>
        <w:numPr>
          <w:ilvl w:val="1"/>
          <w:numId w:val="9"/>
        </w:numPr>
        <w:tabs>
          <w:tab w:val="left" w:pos="1194"/>
        </w:tabs>
        <w:kinsoku/>
        <w:wordWrap/>
        <w:overflowPunct/>
        <w:topLinePunct w:val="0"/>
        <w:autoSpaceDE w:val="0"/>
        <w:autoSpaceDN w:val="0"/>
        <w:bidi w:val="0"/>
        <w:adjustRightInd/>
        <w:snapToGrid/>
        <w:spacing w:before="1" w:after="0" w:line="390" w:lineRule="exact"/>
        <w:ind w:left="232" w:right="232" w:firstLine="480"/>
        <w:jc w:val="left"/>
        <w:textAlignment w:val="auto"/>
        <w:rPr>
          <w:color w:val="auto"/>
          <w:sz w:val="24"/>
          <w:highlight w:val="none"/>
        </w:rPr>
      </w:pPr>
      <w:r>
        <w:rPr>
          <w:color w:val="auto"/>
          <w:spacing w:val="-3"/>
          <w:sz w:val="24"/>
          <w:highlight w:val="none"/>
        </w:rPr>
        <w:t xml:space="preserve">投标单位应将响应文件按本须知第 </w:t>
      </w:r>
      <w:r>
        <w:rPr>
          <w:color w:val="auto"/>
          <w:sz w:val="24"/>
          <w:highlight w:val="none"/>
        </w:rPr>
        <w:t>8.1</w:t>
      </w:r>
      <w:r>
        <w:rPr>
          <w:color w:val="auto"/>
          <w:spacing w:val="-8"/>
          <w:sz w:val="24"/>
          <w:highlight w:val="none"/>
        </w:rPr>
        <w:t xml:space="preserve"> 条规定的顺序编排、并应编制目录，逐页标</w:t>
      </w:r>
      <w:r>
        <w:rPr>
          <w:color w:val="auto"/>
          <w:sz w:val="24"/>
          <w:highlight w:val="none"/>
        </w:rPr>
        <w:t>注连续页码，装订成册。</w:t>
      </w:r>
    </w:p>
    <w:p>
      <w:pPr>
        <w:pStyle w:val="6"/>
        <w:keepNext w:val="0"/>
        <w:keepLines w:val="0"/>
        <w:pageBreakBefore w:val="0"/>
        <w:widowControl w:val="0"/>
        <w:numPr>
          <w:ilvl w:val="0"/>
          <w:numId w:val="9"/>
        </w:numPr>
        <w:tabs>
          <w:tab w:val="left" w:pos="1080"/>
        </w:tabs>
        <w:kinsoku/>
        <w:wordWrap/>
        <w:overflowPunct/>
        <w:topLinePunct w:val="0"/>
        <w:autoSpaceDE w:val="0"/>
        <w:autoSpaceDN w:val="0"/>
        <w:bidi w:val="0"/>
        <w:adjustRightInd/>
        <w:snapToGrid/>
        <w:spacing w:before="1" w:after="0" w:line="390" w:lineRule="exact"/>
        <w:ind w:left="1079" w:right="0" w:hanging="365"/>
        <w:jc w:val="left"/>
        <w:textAlignment w:val="auto"/>
        <w:rPr>
          <w:color w:val="auto"/>
          <w:sz w:val="22"/>
          <w:highlight w:val="none"/>
        </w:rPr>
      </w:pPr>
      <w:r>
        <w:rPr>
          <w:color w:val="auto"/>
          <w:highlight w:val="none"/>
        </w:rPr>
        <w:t>磋商报价</w:t>
      </w:r>
    </w:p>
    <w:p>
      <w:pPr>
        <w:pStyle w:val="25"/>
        <w:keepNext w:val="0"/>
        <w:keepLines w:val="0"/>
        <w:pageBreakBefore w:val="0"/>
        <w:widowControl w:val="0"/>
        <w:numPr>
          <w:ilvl w:val="1"/>
          <w:numId w:val="9"/>
        </w:numPr>
        <w:tabs>
          <w:tab w:val="left" w:pos="1194"/>
        </w:tabs>
        <w:kinsoku/>
        <w:wordWrap/>
        <w:overflowPunct/>
        <w:topLinePunct w:val="0"/>
        <w:autoSpaceDE w:val="0"/>
        <w:autoSpaceDN w:val="0"/>
        <w:bidi w:val="0"/>
        <w:adjustRightInd/>
        <w:snapToGrid/>
        <w:spacing w:before="173" w:after="0" w:line="390" w:lineRule="exact"/>
        <w:ind w:left="232" w:right="240" w:firstLine="480"/>
        <w:jc w:val="left"/>
        <w:textAlignment w:val="auto"/>
        <w:rPr>
          <w:color w:val="auto"/>
          <w:sz w:val="24"/>
          <w:highlight w:val="none"/>
        </w:rPr>
      </w:pPr>
      <w:r>
        <w:rPr>
          <w:color w:val="auto"/>
          <w:spacing w:val="-1"/>
          <w:sz w:val="24"/>
          <w:highlight w:val="none"/>
        </w:rPr>
        <w:t>磋商报价为投标人完成招标项目内容的全部合理费用，投标人应按建设行政主管部</w:t>
      </w:r>
      <w:r>
        <w:rPr>
          <w:color w:val="auto"/>
          <w:sz w:val="24"/>
          <w:highlight w:val="none"/>
        </w:rPr>
        <w:t>门颁布的《计价规则》等配套文件规定自主报价。</w:t>
      </w:r>
    </w:p>
    <w:p>
      <w:pPr>
        <w:pStyle w:val="25"/>
        <w:keepNext w:val="0"/>
        <w:keepLines w:val="0"/>
        <w:pageBreakBefore w:val="0"/>
        <w:widowControl w:val="0"/>
        <w:numPr>
          <w:ilvl w:val="1"/>
          <w:numId w:val="9"/>
        </w:numPr>
        <w:tabs>
          <w:tab w:val="left" w:pos="1194"/>
        </w:tabs>
        <w:kinsoku/>
        <w:wordWrap/>
        <w:overflowPunct/>
        <w:topLinePunct w:val="0"/>
        <w:autoSpaceDE w:val="0"/>
        <w:autoSpaceDN w:val="0"/>
        <w:bidi w:val="0"/>
        <w:adjustRightInd/>
        <w:snapToGrid/>
        <w:spacing w:before="0" w:after="0" w:line="390" w:lineRule="exact"/>
        <w:ind w:left="232" w:right="240" w:firstLine="480"/>
        <w:jc w:val="left"/>
        <w:textAlignment w:val="auto"/>
        <w:rPr>
          <w:color w:val="auto"/>
          <w:sz w:val="24"/>
          <w:highlight w:val="none"/>
        </w:rPr>
      </w:pPr>
      <w:r>
        <w:rPr>
          <w:color w:val="auto"/>
          <w:spacing w:val="-1"/>
          <w:sz w:val="24"/>
          <w:highlight w:val="none"/>
        </w:rPr>
        <w:t>投标人被视为充分地理解了招标文件内容并考虑了现场条件和施工环境，报价中含</w:t>
      </w:r>
      <w:r>
        <w:rPr>
          <w:color w:val="auto"/>
          <w:sz w:val="24"/>
          <w:highlight w:val="none"/>
        </w:rPr>
        <w:t>有此方面的一切风险费用。</w:t>
      </w:r>
    </w:p>
    <w:p>
      <w:pPr>
        <w:pStyle w:val="25"/>
        <w:keepNext w:val="0"/>
        <w:keepLines w:val="0"/>
        <w:pageBreakBefore w:val="0"/>
        <w:widowControl w:val="0"/>
        <w:numPr>
          <w:ilvl w:val="1"/>
          <w:numId w:val="9"/>
        </w:numPr>
        <w:tabs>
          <w:tab w:val="left" w:pos="1134"/>
        </w:tabs>
        <w:kinsoku/>
        <w:wordWrap/>
        <w:overflowPunct/>
        <w:topLinePunct w:val="0"/>
        <w:autoSpaceDE w:val="0"/>
        <w:autoSpaceDN w:val="0"/>
        <w:bidi w:val="0"/>
        <w:adjustRightInd/>
        <w:snapToGrid/>
        <w:spacing w:before="1" w:after="0" w:line="390" w:lineRule="exact"/>
        <w:ind w:left="1133" w:right="0" w:hanging="421"/>
        <w:jc w:val="left"/>
        <w:textAlignment w:val="auto"/>
        <w:rPr>
          <w:color w:val="auto"/>
          <w:sz w:val="24"/>
          <w:highlight w:val="none"/>
        </w:rPr>
      </w:pPr>
      <w:r>
        <w:rPr>
          <w:color w:val="auto"/>
          <w:sz w:val="24"/>
          <w:highlight w:val="none"/>
        </w:rPr>
        <w:t>报价中的综合单价和合价全部采用人民币表示。</w:t>
      </w:r>
    </w:p>
    <w:p>
      <w:pPr>
        <w:pStyle w:val="7"/>
        <w:keepNext w:val="0"/>
        <w:keepLines w:val="0"/>
        <w:pageBreakBefore w:val="0"/>
        <w:widowControl w:val="0"/>
        <w:kinsoku/>
        <w:wordWrap/>
        <w:overflowPunct/>
        <w:topLinePunct w:val="0"/>
        <w:autoSpaceDE w:val="0"/>
        <w:autoSpaceDN w:val="0"/>
        <w:bidi w:val="0"/>
        <w:adjustRightInd/>
        <w:snapToGrid/>
        <w:spacing w:before="10" w:line="390" w:lineRule="exact"/>
        <w:ind w:left="0"/>
        <w:textAlignment w:val="auto"/>
        <w:rPr>
          <w:color w:val="auto"/>
          <w:sz w:val="17"/>
          <w:highlight w:val="none"/>
        </w:rPr>
      </w:pPr>
    </w:p>
    <w:p>
      <w:pPr>
        <w:pStyle w:val="6"/>
        <w:keepNext w:val="0"/>
        <w:keepLines w:val="0"/>
        <w:pageBreakBefore w:val="0"/>
        <w:widowControl w:val="0"/>
        <w:numPr>
          <w:ilvl w:val="1"/>
          <w:numId w:val="9"/>
        </w:numPr>
        <w:tabs>
          <w:tab w:val="left" w:pos="1138"/>
        </w:tabs>
        <w:kinsoku/>
        <w:wordWrap/>
        <w:overflowPunct/>
        <w:topLinePunct w:val="0"/>
        <w:autoSpaceDE w:val="0"/>
        <w:autoSpaceDN w:val="0"/>
        <w:bidi w:val="0"/>
        <w:adjustRightInd/>
        <w:snapToGrid/>
        <w:spacing w:before="0" w:after="0" w:line="390" w:lineRule="exact"/>
        <w:ind w:left="232" w:right="108" w:firstLine="420"/>
        <w:jc w:val="left"/>
        <w:textAlignment w:val="auto"/>
        <w:rPr>
          <w:color w:val="auto"/>
          <w:highlight w:val="none"/>
        </w:rPr>
      </w:pPr>
      <w:r>
        <w:rPr>
          <w:color w:val="auto"/>
          <w:spacing w:val="-5"/>
          <w:highlight w:val="none"/>
        </w:rPr>
        <w:t>本工程最高限价：</w:t>
      </w:r>
      <w:r>
        <w:rPr>
          <w:rFonts w:hint="eastAsia"/>
          <w:color w:val="auto"/>
          <w:spacing w:val="-5"/>
          <w:highlight w:val="none"/>
          <w:lang w:eastAsia="zh-CN"/>
        </w:rPr>
        <w:t>伍拾玖万贰仟贰佰玖拾玖元柒角整</w:t>
      </w:r>
      <w:r>
        <w:rPr>
          <w:color w:val="auto"/>
          <w:highlight w:val="none"/>
        </w:rPr>
        <w:t>（￥：</w:t>
      </w:r>
      <w:r>
        <w:rPr>
          <w:rFonts w:hint="eastAsia"/>
          <w:color w:val="auto"/>
          <w:highlight w:val="none"/>
          <w:lang w:val="en-US" w:eastAsia="zh-CN"/>
        </w:rPr>
        <w:t>592299.70</w:t>
      </w:r>
      <w:r>
        <w:rPr>
          <w:color w:val="auto"/>
          <w:spacing w:val="-47"/>
          <w:highlight w:val="none"/>
        </w:rPr>
        <w:t>元</w:t>
      </w:r>
      <w:r>
        <w:rPr>
          <w:color w:val="auto"/>
          <w:spacing w:val="-15"/>
          <w:highlight w:val="none"/>
        </w:rPr>
        <w:t xml:space="preserve">）， </w:t>
      </w:r>
      <w:r>
        <w:rPr>
          <w:color w:val="auto"/>
          <w:highlight w:val="none"/>
        </w:rPr>
        <w:t>磋商报价大于或等于本工程最高限价的，按废标处理。</w:t>
      </w:r>
    </w:p>
    <w:p>
      <w:pPr>
        <w:pStyle w:val="25"/>
        <w:keepNext w:val="0"/>
        <w:keepLines w:val="0"/>
        <w:pageBreakBefore w:val="0"/>
        <w:widowControl w:val="0"/>
        <w:numPr>
          <w:ilvl w:val="1"/>
          <w:numId w:val="9"/>
        </w:numPr>
        <w:tabs>
          <w:tab w:val="left" w:pos="1198"/>
        </w:tabs>
        <w:kinsoku/>
        <w:wordWrap/>
        <w:overflowPunct/>
        <w:topLinePunct w:val="0"/>
        <w:autoSpaceDE w:val="0"/>
        <w:autoSpaceDN w:val="0"/>
        <w:bidi w:val="0"/>
        <w:adjustRightInd/>
        <w:snapToGrid/>
        <w:spacing w:before="0" w:after="0" w:line="390" w:lineRule="exact"/>
        <w:ind w:left="1198" w:right="0" w:hanging="483"/>
        <w:jc w:val="left"/>
        <w:textAlignment w:val="auto"/>
        <w:rPr>
          <w:b w:val="0"/>
          <w:bCs/>
          <w:color w:val="auto"/>
          <w:sz w:val="24"/>
          <w:highlight w:val="none"/>
        </w:rPr>
      </w:pPr>
      <w:r>
        <w:rPr>
          <w:b w:val="0"/>
          <w:bCs/>
          <w:color w:val="auto"/>
          <w:sz w:val="24"/>
          <w:highlight w:val="none"/>
        </w:rPr>
        <w:t>磋商小组认为投标人的报价明显低于其他通过符合性审查投标人的报价，有可能影</w:t>
      </w:r>
    </w:p>
    <w:p>
      <w:pPr>
        <w:keepNext w:val="0"/>
        <w:keepLines w:val="0"/>
        <w:pageBreakBefore w:val="0"/>
        <w:widowControl w:val="0"/>
        <w:kinsoku/>
        <w:wordWrap/>
        <w:overflowPunct/>
        <w:topLinePunct w:val="0"/>
        <w:autoSpaceDE w:val="0"/>
        <w:autoSpaceDN w:val="0"/>
        <w:bidi w:val="0"/>
        <w:adjustRightInd/>
        <w:snapToGrid/>
        <w:spacing w:before="0" w:line="390" w:lineRule="exact"/>
        <w:ind w:left="232" w:right="237" w:firstLine="0"/>
        <w:jc w:val="left"/>
        <w:textAlignment w:val="auto"/>
        <w:rPr>
          <w:b w:val="0"/>
          <w:bCs/>
          <w:color w:val="auto"/>
          <w:sz w:val="24"/>
          <w:highlight w:val="none"/>
        </w:rPr>
      </w:pPr>
      <w:r>
        <w:rPr>
          <w:b w:val="0"/>
          <w:bCs/>
          <w:color w:val="auto"/>
          <w:sz w:val="24"/>
          <w:highlight w:val="none"/>
        </w:rPr>
        <w:t>响质量或者不能诚信履约的，应当要求其在评标现场合理的时间内提供书面说明，必要时提交相关证明材料；投标人不能证明其报价合理性的，磋商小组应当将其作为无效投标处理.</w:t>
      </w:r>
    </w:p>
    <w:p>
      <w:pPr>
        <w:spacing w:after="0" w:line="480" w:lineRule="atLeast"/>
        <w:jc w:val="left"/>
        <w:rPr>
          <w:b w:val="0"/>
          <w:bCs/>
          <w:color w:val="auto"/>
          <w:sz w:val="24"/>
          <w:highlight w:val="none"/>
        </w:rPr>
        <w:sectPr>
          <w:pgSz w:w="11910" w:h="16840"/>
          <w:pgMar w:top="1220" w:right="900" w:bottom="1200" w:left="900" w:header="0" w:footer="928" w:gutter="0"/>
        </w:sectPr>
      </w:pPr>
    </w:p>
    <w:p>
      <w:pPr>
        <w:pStyle w:val="25"/>
        <w:numPr>
          <w:ilvl w:val="0"/>
          <w:numId w:val="9"/>
        </w:numPr>
        <w:tabs>
          <w:tab w:val="left" w:pos="1201"/>
        </w:tabs>
        <w:spacing w:before="38" w:after="0" w:line="240" w:lineRule="auto"/>
        <w:ind w:left="1200" w:right="0" w:hanging="486"/>
        <w:jc w:val="left"/>
        <w:rPr>
          <w:b/>
          <w:color w:val="auto"/>
          <w:sz w:val="22"/>
          <w:highlight w:val="none"/>
        </w:rPr>
      </w:pPr>
      <w:r>
        <w:rPr>
          <w:b/>
          <w:color w:val="auto"/>
          <w:sz w:val="24"/>
          <w:highlight w:val="none"/>
        </w:rPr>
        <w:t>磋商货币</w:t>
      </w:r>
    </w:p>
    <w:p>
      <w:pPr>
        <w:pStyle w:val="25"/>
        <w:numPr>
          <w:ilvl w:val="1"/>
          <w:numId w:val="9"/>
        </w:numPr>
        <w:tabs>
          <w:tab w:val="left" w:pos="1314"/>
        </w:tabs>
        <w:spacing w:before="173" w:after="0" w:line="374" w:lineRule="auto"/>
        <w:ind w:left="715" w:right="3751" w:hanging="3"/>
        <w:jc w:val="left"/>
        <w:rPr>
          <w:b/>
          <w:color w:val="auto"/>
          <w:sz w:val="24"/>
          <w:highlight w:val="none"/>
        </w:rPr>
      </w:pPr>
      <w:r>
        <w:rPr>
          <w:color w:val="auto"/>
          <w:spacing w:val="-1"/>
          <w:sz w:val="24"/>
          <w:highlight w:val="none"/>
        </w:rPr>
        <w:t>投标单位提供的工程及服务一律以人民币报价。</w:t>
      </w:r>
      <w:r>
        <w:rPr>
          <w:b/>
          <w:color w:val="auto"/>
          <w:sz w:val="24"/>
          <w:highlight w:val="none"/>
        </w:rPr>
        <w:t>11．磋商保证金</w:t>
      </w:r>
    </w:p>
    <w:p>
      <w:pPr>
        <w:pStyle w:val="7"/>
        <w:spacing w:before="1"/>
        <w:ind w:left="713"/>
        <w:rPr>
          <w:color w:val="auto"/>
          <w:highlight w:val="none"/>
        </w:rPr>
      </w:pPr>
      <w:r>
        <w:rPr>
          <w:color w:val="auto"/>
          <w:highlight w:val="none"/>
        </w:rPr>
        <w:t>11.1 磋商保证金：</w:t>
      </w:r>
      <w:r>
        <w:rPr>
          <w:rFonts w:hint="eastAsia"/>
          <w:color w:val="auto"/>
          <w:highlight w:val="none"/>
          <w:lang w:eastAsia="zh-CN"/>
        </w:rPr>
        <w:t>壹万</w:t>
      </w:r>
      <w:r>
        <w:rPr>
          <w:color w:val="auto"/>
          <w:highlight w:val="none"/>
        </w:rPr>
        <w:t>元整（￥：</w:t>
      </w:r>
      <w:r>
        <w:rPr>
          <w:rFonts w:hint="eastAsia"/>
          <w:color w:val="auto"/>
          <w:highlight w:val="none"/>
          <w:lang w:val="en-US" w:eastAsia="zh-CN"/>
        </w:rPr>
        <w:t>10</w:t>
      </w:r>
      <w:r>
        <w:rPr>
          <w:color w:val="auto"/>
          <w:highlight w:val="none"/>
        </w:rPr>
        <w:t>000.00 元）。</w:t>
      </w:r>
    </w:p>
    <w:p>
      <w:pPr>
        <w:pStyle w:val="7"/>
        <w:spacing w:before="172"/>
        <w:ind w:left="713"/>
        <w:rPr>
          <w:color w:val="auto"/>
          <w:highlight w:val="none"/>
        </w:rPr>
      </w:pPr>
      <w:r>
        <w:rPr>
          <w:color w:val="auto"/>
          <w:highlight w:val="none"/>
        </w:rPr>
        <w:t>11.2 递交的时间、地点：</w:t>
      </w:r>
    </w:p>
    <w:p>
      <w:pPr>
        <w:pStyle w:val="25"/>
        <w:numPr>
          <w:ilvl w:val="0"/>
          <w:numId w:val="10"/>
        </w:numPr>
        <w:tabs>
          <w:tab w:val="left" w:pos="1315"/>
        </w:tabs>
        <w:spacing w:before="173" w:after="0" w:line="240" w:lineRule="auto"/>
        <w:ind w:left="1314" w:right="0" w:hanging="602"/>
        <w:jc w:val="left"/>
        <w:rPr>
          <w:color w:val="auto"/>
          <w:sz w:val="24"/>
          <w:highlight w:val="none"/>
        </w:rPr>
      </w:pPr>
      <w:r>
        <w:rPr>
          <w:color w:val="auto"/>
          <w:sz w:val="24"/>
          <w:highlight w:val="none"/>
        </w:rPr>
        <w:t>递交截止时间：2021</w:t>
      </w:r>
      <w:r>
        <w:rPr>
          <w:color w:val="auto"/>
          <w:spacing w:val="-41"/>
          <w:sz w:val="24"/>
          <w:highlight w:val="none"/>
        </w:rPr>
        <w:t xml:space="preserve"> 年 </w:t>
      </w:r>
      <w:r>
        <w:rPr>
          <w:color w:val="auto"/>
          <w:sz w:val="24"/>
          <w:highlight w:val="none"/>
        </w:rPr>
        <w:t>5</w:t>
      </w:r>
      <w:r>
        <w:rPr>
          <w:color w:val="auto"/>
          <w:spacing w:val="-40"/>
          <w:sz w:val="24"/>
          <w:highlight w:val="none"/>
        </w:rPr>
        <w:t xml:space="preserve"> 月</w:t>
      </w:r>
      <w:r>
        <w:rPr>
          <w:rFonts w:hint="eastAsia"/>
          <w:color w:val="auto"/>
          <w:spacing w:val="-40"/>
          <w:sz w:val="24"/>
          <w:highlight w:val="none"/>
          <w:lang w:val="en-US" w:eastAsia="zh-CN"/>
        </w:rPr>
        <w:t xml:space="preserve"> </w:t>
      </w:r>
      <w:r>
        <w:rPr>
          <w:rFonts w:hint="eastAsia"/>
          <w:color w:val="auto"/>
          <w:sz w:val="24"/>
          <w:highlight w:val="none"/>
          <w:lang w:val="en-US" w:eastAsia="zh-CN"/>
        </w:rPr>
        <w:t>28</w:t>
      </w:r>
      <w:r>
        <w:rPr>
          <w:color w:val="auto"/>
          <w:sz w:val="24"/>
          <w:highlight w:val="none"/>
        </w:rPr>
        <w:t>日</w:t>
      </w:r>
      <w:r>
        <w:rPr>
          <w:color w:val="auto"/>
          <w:spacing w:val="-40"/>
          <w:sz w:val="24"/>
          <w:highlight w:val="none"/>
        </w:rPr>
        <w:t xml:space="preserve"> </w:t>
      </w:r>
      <w:r>
        <w:rPr>
          <w:color w:val="auto"/>
          <w:sz w:val="24"/>
          <w:highlight w:val="none"/>
        </w:rPr>
        <w:t>9:00</w:t>
      </w:r>
      <w:r>
        <w:rPr>
          <w:color w:val="auto"/>
          <w:spacing w:val="-20"/>
          <w:sz w:val="24"/>
          <w:highlight w:val="none"/>
        </w:rPr>
        <w:t xml:space="preserve"> 时前</w:t>
      </w:r>
    </w:p>
    <w:p>
      <w:pPr>
        <w:pStyle w:val="25"/>
        <w:numPr>
          <w:ilvl w:val="0"/>
          <w:numId w:val="10"/>
        </w:numPr>
        <w:tabs>
          <w:tab w:val="left" w:pos="1315"/>
        </w:tabs>
        <w:spacing w:before="172" w:after="0" w:line="240" w:lineRule="auto"/>
        <w:ind w:left="1314" w:right="0" w:hanging="602"/>
        <w:jc w:val="left"/>
        <w:rPr>
          <w:color w:val="auto"/>
          <w:sz w:val="24"/>
          <w:highlight w:val="none"/>
        </w:rPr>
      </w:pPr>
      <w:r>
        <w:rPr>
          <w:color w:val="auto"/>
          <w:sz w:val="24"/>
          <w:highlight w:val="none"/>
        </w:rPr>
        <w:t>保证金账户：</w:t>
      </w:r>
    </w:p>
    <w:p>
      <w:pPr>
        <w:pStyle w:val="7"/>
        <w:spacing w:before="173" w:line="374" w:lineRule="auto"/>
        <w:ind w:left="713" w:right="2671"/>
        <w:rPr>
          <w:color w:val="auto"/>
          <w:highlight w:val="none"/>
        </w:rPr>
      </w:pPr>
      <w:r>
        <w:rPr>
          <w:color w:val="auto"/>
          <w:highlight w:val="none"/>
        </w:rPr>
        <w:t>开户名称：安康市政务服务中心公共资源交易保证金专用账户； 开户银行：</w:t>
      </w:r>
      <w:r>
        <w:rPr>
          <w:rFonts w:hint="eastAsia"/>
          <w:color w:val="auto"/>
          <w:highlight w:val="none"/>
        </w:rPr>
        <w:t>中国建设银行股份有限公司安康分行营业部</w:t>
      </w:r>
    </w:p>
    <w:p>
      <w:pPr>
        <w:pStyle w:val="7"/>
        <w:tabs>
          <w:tab w:val="left" w:pos="1433"/>
        </w:tabs>
        <w:spacing w:before="1"/>
        <w:ind w:left="713"/>
        <w:rPr>
          <w:color w:val="auto"/>
          <w:highlight w:val="none"/>
        </w:rPr>
      </w:pPr>
      <w:r>
        <w:rPr>
          <w:color w:val="auto"/>
          <w:highlight w:val="none"/>
        </w:rPr>
        <w:t>账</w:t>
      </w:r>
      <w:r>
        <w:rPr>
          <w:color w:val="auto"/>
          <w:highlight w:val="none"/>
        </w:rPr>
        <w:tab/>
      </w:r>
      <w:r>
        <w:rPr>
          <w:color w:val="auto"/>
          <w:highlight w:val="none"/>
        </w:rPr>
        <w:t>号：</w:t>
      </w:r>
      <w:r>
        <w:rPr>
          <w:rFonts w:hint="eastAsia"/>
          <w:color w:val="auto"/>
          <w:highlight w:val="none"/>
        </w:rPr>
        <w:t>610501663711000003212897</w:t>
      </w:r>
    </w:p>
    <w:p>
      <w:pPr>
        <w:pStyle w:val="6"/>
        <w:keepNext w:val="0"/>
        <w:keepLines w:val="0"/>
        <w:pageBreakBefore w:val="0"/>
        <w:widowControl w:val="0"/>
        <w:kinsoku/>
        <w:wordWrap/>
        <w:overflowPunct/>
        <w:topLinePunct w:val="0"/>
        <w:autoSpaceDE w:val="0"/>
        <w:autoSpaceDN w:val="0"/>
        <w:bidi w:val="0"/>
        <w:adjustRightInd/>
        <w:snapToGrid/>
        <w:spacing w:before="172" w:line="440" w:lineRule="exact"/>
        <w:ind w:left="232" w:right="116" w:firstLine="482"/>
        <w:textAlignment w:val="auto"/>
        <w:rPr>
          <w:color w:val="auto"/>
          <w:highlight w:val="none"/>
        </w:rPr>
      </w:pPr>
      <w:r>
        <w:rPr>
          <w:color w:val="auto"/>
          <w:spacing w:val="-9"/>
          <w:highlight w:val="none"/>
        </w:rPr>
        <w:t>本保证金账号为虚拟子账号，按照交易中心最新规定，投标保证金须汇入此虚拟子账户。</w:t>
      </w:r>
      <w:r>
        <w:rPr>
          <w:color w:val="auto"/>
          <w:highlight w:val="none"/>
        </w:rPr>
        <w:t>且每个项目保证金虚拟子账号各不相同，请核对清楚，如有疑问请联系代理公司或公共资源交易中心。</w:t>
      </w:r>
    </w:p>
    <w:p>
      <w:pPr>
        <w:keepNext w:val="0"/>
        <w:keepLines w:val="0"/>
        <w:pageBreakBefore w:val="0"/>
        <w:widowControl w:val="0"/>
        <w:kinsoku/>
        <w:wordWrap/>
        <w:overflowPunct/>
        <w:topLinePunct w:val="0"/>
        <w:autoSpaceDE w:val="0"/>
        <w:autoSpaceDN w:val="0"/>
        <w:bidi w:val="0"/>
        <w:adjustRightInd/>
        <w:snapToGrid/>
        <w:spacing w:before="1" w:line="440" w:lineRule="exact"/>
        <w:ind w:left="232" w:right="229" w:firstLine="482"/>
        <w:jc w:val="left"/>
        <w:textAlignment w:val="auto"/>
        <w:rPr>
          <w:b/>
          <w:color w:val="auto"/>
          <w:sz w:val="24"/>
          <w:highlight w:val="none"/>
        </w:rPr>
      </w:pPr>
      <w:r>
        <w:rPr>
          <w:b/>
          <w:color w:val="auto"/>
          <w:sz w:val="24"/>
          <w:highlight w:val="none"/>
        </w:rPr>
        <w:t>11.3（保证金须从对公账户转入，请务必在缴费时备注采购项目名称：</w:t>
      </w:r>
      <w:r>
        <w:rPr>
          <w:rFonts w:hint="eastAsia"/>
          <w:b/>
          <w:color w:val="auto"/>
          <w:sz w:val="24"/>
          <w:highlight w:val="none"/>
          <w:lang w:eastAsia="zh-CN"/>
        </w:rPr>
        <w:t>紫阳县向阳镇院墙村龚家院子至显钟村公路改建工程</w:t>
      </w:r>
      <w:r>
        <w:rPr>
          <w:b/>
          <w:color w:val="auto"/>
          <w:sz w:val="24"/>
          <w:highlight w:val="none"/>
        </w:rPr>
        <w:t>，可简写，没有备注保证金缴纳项目名称的视为无效保证金。）</w:t>
      </w:r>
    </w:p>
    <w:p>
      <w:pPr>
        <w:pStyle w:val="25"/>
        <w:keepNext w:val="0"/>
        <w:keepLines w:val="0"/>
        <w:pageBreakBefore w:val="0"/>
        <w:widowControl w:val="0"/>
        <w:numPr>
          <w:ilvl w:val="2"/>
          <w:numId w:val="11"/>
        </w:numPr>
        <w:tabs>
          <w:tab w:val="left" w:pos="1503"/>
        </w:tabs>
        <w:kinsoku/>
        <w:wordWrap/>
        <w:overflowPunct/>
        <w:topLinePunct w:val="0"/>
        <w:autoSpaceDE w:val="0"/>
        <w:autoSpaceDN w:val="0"/>
        <w:bidi w:val="0"/>
        <w:adjustRightInd/>
        <w:snapToGrid/>
        <w:spacing w:before="1" w:after="0" w:line="440" w:lineRule="exact"/>
        <w:ind w:left="232" w:right="235" w:firstLine="482"/>
        <w:jc w:val="left"/>
        <w:textAlignment w:val="auto"/>
        <w:rPr>
          <w:b/>
          <w:color w:val="auto"/>
          <w:sz w:val="24"/>
          <w:highlight w:val="none"/>
        </w:rPr>
      </w:pPr>
      <w:r>
        <w:rPr>
          <w:b/>
          <w:color w:val="auto"/>
          <w:spacing w:val="-5"/>
          <w:sz w:val="24"/>
          <w:highlight w:val="none"/>
        </w:rPr>
        <w:t>递交投标保证金形式：应当采用支票、汇票、本票、网上银行对公账户转账支付或者金融机构、担保机构出具的保函等非现金形式缴纳（</w:t>
      </w:r>
      <w:r>
        <w:rPr>
          <w:b/>
          <w:color w:val="auto"/>
          <w:spacing w:val="-11"/>
          <w:sz w:val="24"/>
          <w:highlight w:val="none"/>
        </w:rPr>
        <w:t xml:space="preserve">担保函有效期不少于 </w:t>
      </w:r>
      <w:r>
        <w:rPr>
          <w:b/>
          <w:color w:val="auto"/>
          <w:sz w:val="24"/>
          <w:highlight w:val="none"/>
        </w:rPr>
        <w:t>60</w:t>
      </w:r>
      <w:r>
        <w:rPr>
          <w:b/>
          <w:color w:val="auto"/>
          <w:spacing w:val="-31"/>
          <w:sz w:val="24"/>
          <w:highlight w:val="none"/>
        </w:rPr>
        <w:t xml:space="preserve"> 天</w:t>
      </w:r>
      <w:r>
        <w:rPr>
          <w:b/>
          <w:color w:val="auto"/>
          <w:sz w:val="24"/>
          <w:highlight w:val="none"/>
        </w:rPr>
        <w:t>）。</w:t>
      </w:r>
    </w:p>
    <w:p>
      <w:pPr>
        <w:pStyle w:val="25"/>
        <w:keepNext w:val="0"/>
        <w:keepLines w:val="0"/>
        <w:pageBreakBefore w:val="0"/>
        <w:widowControl w:val="0"/>
        <w:numPr>
          <w:ilvl w:val="2"/>
          <w:numId w:val="11"/>
        </w:numPr>
        <w:tabs>
          <w:tab w:val="left" w:pos="1563"/>
        </w:tabs>
        <w:kinsoku/>
        <w:wordWrap/>
        <w:overflowPunct/>
        <w:topLinePunct w:val="0"/>
        <w:autoSpaceDE w:val="0"/>
        <w:autoSpaceDN w:val="0"/>
        <w:bidi w:val="0"/>
        <w:adjustRightInd/>
        <w:snapToGrid/>
        <w:spacing w:before="1" w:after="0" w:line="440" w:lineRule="exact"/>
        <w:ind w:left="232" w:right="234" w:firstLine="482"/>
        <w:jc w:val="left"/>
        <w:textAlignment w:val="auto"/>
        <w:rPr>
          <w:b/>
          <w:color w:val="auto"/>
          <w:sz w:val="24"/>
          <w:highlight w:val="none"/>
        </w:rPr>
      </w:pPr>
      <w:r>
        <w:rPr>
          <w:b/>
          <w:color w:val="auto"/>
          <w:spacing w:val="-16"/>
          <w:sz w:val="24"/>
          <w:highlight w:val="none"/>
        </w:rPr>
        <w:t xml:space="preserve">请于 </w:t>
      </w:r>
      <w:r>
        <w:rPr>
          <w:b/>
          <w:color w:val="auto"/>
          <w:sz w:val="24"/>
          <w:highlight w:val="none"/>
        </w:rPr>
        <w:t>2021</w:t>
      </w:r>
      <w:r>
        <w:rPr>
          <w:b/>
          <w:color w:val="auto"/>
          <w:spacing w:val="-33"/>
          <w:sz w:val="24"/>
          <w:highlight w:val="none"/>
        </w:rPr>
        <w:t xml:space="preserve"> 年 </w:t>
      </w:r>
      <w:r>
        <w:rPr>
          <w:b/>
          <w:color w:val="auto"/>
          <w:sz w:val="24"/>
          <w:highlight w:val="none"/>
        </w:rPr>
        <w:t>5</w:t>
      </w:r>
      <w:r>
        <w:rPr>
          <w:b/>
          <w:color w:val="auto"/>
          <w:spacing w:val="-32"/>
          <w:sz w:val="24"/>
          <w:highlight w:val="none"/>
        </w:rPr>
        <w:t xml:space="preserve"> 月</w:t>
      </w:r>
      <w:r>
        <w:rPr>
          <w:rFonts w:hint="eastAsia"/>
          <w:b/>
          <w:color w:val="auto"/>
          <w:sz w:val="24"/>
          <w:highlight w:val="none"/>
          <w:lang w:val="en-US" w:eastAsia="zh-CN"/>
        </w:rPr>
        <w:t>28</w:t>
      </w:r>
      <w:r>
        <w:rPr>
          <w:b/>
          <w:color w:val="auto"/>
          <w:sz w:val="24"/>
          <w:highlight w:val="none"/>
        </w:rPr>
        <w:t>日 9:00</w:t>
      </w:r>
      <w:r>
        <w:rPr>
          <w:b/>
          <w:color w:val="auto"/>
          <w:spacing w:val="-7"/>
          <w:sz w:val="24"/>
          <w:highlight w:val="none"/>
        </w:rPr>
        <w:t xml:space="preserve"> 时前将转账凭证扫描后发至采购代理机构邮箱</w:t>
      </w:r>
      <w:r>
        <w:rPr>
          <w:b/>
          <w:color w:val="auto"/>
          <w:sz w:val="24"/>
          <w:highlight w:val="none"/>
        </w:rPr>
        <w:t>（邮箱号码：</w:t>
      </w:r>
      <w:r>
        <w:rPr>
          <w:rFonts w:hint="eastAsia"/>
          <w:b/>
          <w:color w:val="auto"/>
          <w:sz w:val="24"/>
          <w:highlight w:val="none"/>
          <w:lang w:val="en-US" w:eastAsia="zh-CN"/>
        </w:rPr>
        <w:t>1281028251</w:t>
      </w:r>
      <w:r>
        <w:rPr>
          <w:b/>
          <w:color w:val="auto"/>
          <w:sz w:val="24"/>
          <w:highlight w:val="none"/>
        </w:rPr>
        <w:t>@qq.com)。</w:t>
      </w:r>
    </w:p>
    <w:p>
      <w:pPr>
        <w:keepNext w:val="0"/>
        <w:keepLines w:val="0"/>
        <w:pageBreakBefore w:val="0"/>
        <w:widowControl w:val="0"/>
        <w:kinsoku/>
        <w:wordWrap/>
        <w:overflowPunct/>
        <w:topLinePunct w:val="0"/>
        <w:autoSpaceDE w:val="0"/>
        <w:autoSpaceDN w:val="0"/>
        <w:bidi w:val="0"/>
        <w:adjustRightInd/>
        <w:snapToGrid/>
        <w:spacing w:before="0" w:line="440" w:lineRule="exact"/>
        <w:ind w:left="232" w:right="231" w:firstLine="482"/>
        <w:jc w:val="left"/>
        <w:textAlignment w:val="auto"/>
        <w:rPr>
          <w:b/>
          <w:color w:val="auto"/>
          <w:sz w:val="24"/>
          <w:highlight w:val="none"/>
        </w:rPr>
      </w:pPr>
      <w:r>
        <w:rPr>
          <w:b/>
          <w:color w:val="auto"/>
          <w:spacing w:val="-10"/>
          <w:sz w:val="24"/>
          <w:highlight w:val="none"/>
        </w:rPr>
        <w:t xml:space="preserve">注：凡没有根据 </w:t>
      </w:r>
      <w:r>
        <w:rPr>
          <w:b/>
          <w:color w:val="auto"/>
          <w:sz w:val="24"/>
          <w:highlight w:val="none"/>
        </w:rPr>
        <w:t>11.1</w:t>
      </w:r>
      <w:r>
        <w:rPr>
          <w:b/>
          <w:color w:val="auto"/>
          <w:spacing w:val="-41"/>
          <w:sz w:val="24"/>
          <w:highlight w:val="none"/>
        </w:rPr>
        <w:t xml:space="preserve"> 至 </w:t>
      </w:r>
      <w:r>
        <w:rPr>
          <w:b/>
          <w:color w:val="auto"/>
          <w:sz w:val="24"/>
          <w:highlight w:val="none"/>
        </w:rPr>
        <w:t>11.3</w:t>
      </w:r>
      <w:r>
        <w:rPr>
          <w:b/>
          <w:color w:val="auto"/>
          <w:spacing w:val="-9"/>
          <w:sz w:val="24"/>
          <w:highlight w:val="none"/>
        </w:rPr>
        <w:t xml:space="preserve"> 规定提交投标保证金的投标，将被视为非响应性投标而予</w:t>
      </w:r>
      <w:r>
        <w:rPr>
          <w:b/>
          <w:color w:val="auto"/>
          <w:sz w:val="24"/>
          <w:highlight w:val="none"/>
        </w:rPr>
        <w:t>以拒绝。</w:t>
      </w:r>
    </w:p>
    <w:p>
      <w:pPr>
        <w:pStyle w:val="25"/>
        <w:numPr>
          <w:ilvl w:val="1"/>
          <w:numId w:val="12"/>
        </w:numPr>
        <w:tabs>
          <w:tab w:val="left" w:pos="1314"/>
        </w:tabs>
        <w:spacing w:before="1" w:after="0" w:line="374" w:lineRule="auto"/>
        <w:ind w:left="232" w:right="232" w:firstLine="480"/>
        <w:jc w:val="left"/>
        <w:rPr>
          <w:color w:val="auto"/>
          <w:sz w:val="24"/>
          <w:highlight w:val="none"/>
        </w:rPr>
      </w:pPr>
      <w:r>
        <w:rPr>
          <w:color w:val="auto"/>
          <w:spacing w:val="-6"/>
          <w:sz w:val="24"/>
          <w:highlight w:val="none"/>
        </w:rPr>
        <w:t>未成交投标单位的磋商保证金，采购代理机构将在对成交投标单位发出《成交通知</w:t>
      </w:r>
      <w:r>
        <w:rPr>
          <w:color w:val="auto"/>
          <w:sz w:val="24"/>
          <w:highlight w:val="none"/>
        </w:rPr>
        <w:t>书》后五个工作日内，投标单位退还保证金收据后予以全额无息退还。</w:t>
      </w:r>
    </w:p>
    <w:p>
      <w:pPr>
        <w:pStyle w:val="25"/>
        <w:numPr>
          <w:ilvl w:val="1"/>
          <w:numId w:val="12"/>
        </w:numPr>
        <w:tabs>
          <w:tab w:val="left" w:pos="1314"/>
        </w:tabs>
        <w:spacing w:before="1" w:after="0" w:line="374" w:lineRule="auto"/>
        <w:ind w:left="232" w:right="232" w:firstLine="480"/>
        <w:jc w:val="left"/>
        <w:rPr>
          <w:color w:val="auto"/>
          <w:sz w:val="24"/>
          <w:highlight w:val="none"/>
        </w:rPr>
      </w:pPr>
      <w:r>
        <w:rPr>
          <w:color w:val="auto"/>
          <w:spacing w:val="-10"/>
          <w:sz w:val="24"/>
          <w:highlight w:val="none"/>
        </w:rPr>
        <w:t>中标人的投标保证金，在中标人按本须知规定交纳中标服务费和按与采购人签订合</w:t>
      </w:r>
      <w:r>
        <w:rPr>
          <w:color w:val="auto"/>
          <w:sz w:val="24"/>
          <w:highlight w:val="none"/>
        </w:rPr>
        <w:t>同</w:t>
      </w:r>
      <w:r>
        <w:rPr>
          <w:b/>
          <w:color w:val="auto"/>
          <w:sz w:val="24"/>
          <w:highlight w:val="none"/>
        </w:rPr>
        <w:t>（合同扫描件发至采购代理机构邮箱：</w:t>
      </w:r>
      <w:r>
        <w:rPr>
          <w:color w:val="auto"/>
          <w:highlight w:val="none"/>
        </w:rPr>
        <w:fldChar w:fldCharType="begin"/>
      </w:r>
      <w:r>
        <w:rPr>
          <w:color w:val="auto"/>
          <w:highlight w:val="none"/>
        </w:rPr>
        <w:instrText xml:space="preserve"> HYPERLINK "mailto:837649523@qq.com" \h </w:instrText>
      </w:r>
      <w:r>
        <w:rPr>
          <w:color w:val="auto"/>
          <w:highlight w:val="none"/>
        </w:rPr>
        <w:fldChar w:fldCharType="separate"/>
      </w:r>
      <w:r>
        <w:rPr>
          <w:rFonts w:hint="eastAsia"/>
          <w:b/>
          <w:color w:val="auto"/>
          <w:sz w:val="24"/>
          <w:highlight w:val="none"/>
          <w:lang w:val="en-US" w:eastAsia="zh-CN"/>
        </w:rPr>
        <w:t>1281028251</w:t>
      </w:r>
      <w:r>
        <w:rPr>
          <w:b/>
          <w:color w:val="auto"/>
          <w:sz w:val="24"/>
          <w:highlight w:val="none"/>
        </w:rPr>
        <w:t>@qq.com</w:t>
      </w:r>
      <w:r>
        <w:rPr>
          <w:b/>
          <w:color w:val="auto"/>
          <w:sz w:val="24"/>
          <w:highlight w:val="none"/>
        </w:rPr>
        <w:fldChar w:fldCharType="end"/>
      </w:r>
      <w:r>
        <w:rPr>
          <w:b/>
          <w:color w:val="auto"/>
          <w:sz w:val="24"/>
          <w:highlight w:val="none"/>
        </w:rPr>
        <w:t>）后</w:t>
      </w:r>
      <w:r>
        <w:rPr>
          <w:color w:val="auto"/>
          <w:spacing w:val="-2"/>
          <w:sz w:val="24"/>
          <w:highlight w:val="none"/>
        </w:rPr>
        <w:t>，在五个工作日内退还保证</w:t>
      </w:r>
    </w:p>
    <w:p>
      <w:pPr>
        <w:pStyle w:val="7"/>
        <w:spacing w:before="1"/>
        <w:rPr>
          <w:color w:val="auto"/>
          <w:highlight w:val="none"/>
        </w:rPr>
      </w:pPr>
      <w:r>
        <w:rPr>
          <w:color w:val="auto"/>
          <w:highlight w:val="none"/>
        </w:rPr>
        <w:t>金。</w:t>
      </w:r>
    </w:p>
    <w:p>
      <w:pPr>
        <w:pStyle w:val="25"/>
        <w:numPr>
          <w:ilvl w:val="1"/>
          <w:numId w:val="12"/>
        </w:numPr>
        <w:tabs>
          <w:tab w:val="left" w:pos="1314"/>
        </w:tabs>
        <w:spacing w:before="172" w:after="0" w:line="240" w:lineRule="auto"/>
        <w:ind w:left="1313" w:right="0" w:hanging="601"/>
        <w:jc w:val="left"/>
        <w:rPr>
          <w:color w:val="auto"/>
          <w:sz w:val="24"/>
          <w:highlight w:val="none"/>
        </w:rPr>
      </w:pPr>
      <w:r>
        <w:rPr>
          <w:color w:val="auto"/>
          <w:sz w:val="24"/>
          <w:highlight w:val="none"/>
        </w:rPr>
        <w:t>下列任何情况发生时，磋商保证金将不予退还：</w:t>
      </w:r>
    </w:p>
    <w:p>
      <w:pPr>
        <w:pStyle w:val="25"/>
        <w:numPr>
          <w:ilvl w:val="0"/>
          <w:numId w:val="13"/>
        </w:numPr>
        <w:tabs>
          <w:tab w:val="left" w:pos="1315"/>
        </w:tabs>
        <w:spacing w:before="173" w:after="0" w:line="240" w:lineRule="auto"/>
        <w:ind w:left="1314" w:right="0" w:hanging="602"/>
        <w:jc w:val="left"/>
        <w:rPr>
          <w:color w:val="auto"/>
          <w:sz w:val="24"/>
          <w:highlight w:val="none"/>
        </w:rPr>
      </w:pPr>
      <w:r>
        <w:rPr>
          <w:color w:val="auto"/>
          <w:sz w:val="24"/>
          <w:highlight w:val="none"/>
        </w:rPr>
        <w:t>投标单位在提交响应文件截止时间后撤回响应文件的；</w:t>
      </w:r>
    </w:p>
    <w:p>
      <w:pPr>
        <w:pStyle w:val="25"/>
        <w:numPr>
          <w:ilvl w:val="0"/>
          <w:numId w:val="13"/>
        </w:numPr>
        <w:tabs>
          <w:tab w:val="left" w:pos="1315"/>
        </w:tabs>
        <w:spacing w:before="172" w:after="0" w:line="240" w:lineRule="auto"/>
        <w:ind w:left="1314" w:right="0" w:hanging="602"/>
        <w:jc w:val="left"/>
        <w:rPr>
          <w:color w:val="auto"/>
          <w:sz w:val="24"/>
          <w:highlight w:val="none"/>
        </w:rPr>
      </w:pPr>
      <w:r>
        <w:rPr>
          <w:color w:val="auto"/>
          <w:sz w:val="24"/>
          <w:highlight w:val="none"/>
        </w:rPr>
        <w:t>投标单位在响应文件中提供虚假材料的；</w:t>
      </w:r>
    </w:p>
    <w:p>
      <w:pPr>
        <w:pStyle w:val="25"/>
        <w:numPr>
          <w:ilvl w:val="0"/>
          <w:numId w:val="13"/>
        </w:numPr>
        <w:tabs>
          <w:tab w:val="left" w:pos="1315"/>
        </w:tabs>
        <w:spacing w:before="173" w:after="0" w:line="240" w:lineRule="auto"/>
        <w:ind w:left="1314" w:right="0" w:hanging="602"/>
        <w:jc w:val="left"/>
        <w:rPr>
          <w:color w:val="auto"/>
          <w:sz w:val="24"/>
          <w:highlight w:val="none"/>
        </w:rPr>
      </w:pPr>
      <w:r>
        <w:rPr>
          <w:color w:val="auto"/>
          <w:sz w:val="24"/>
          <w:highlight w:val="none"/>
        </w:rPr>
        <w:t>除因不可抗力或磋商文件认可的情形以外，成交投标单位不与采购人签订合同的；</w:t>
      </w:r>
    </w:p>
    <w:p>
      <w:pPr>
        <w:spacing w:after="0" w:line="240" w:lineRule="auto"/>
        <w:jc w:val="left"/>
        <w:rPr>
          <w:color w:val="auto"/>
          <w:sz w:val="24"/>
          <w:highlight w:val="none"/>
        </w:rPr>
        <w:sectPr>
          <w:pgSz w:w="11910" w:h="16840"/>
          <w:pgMar w:top="1220" w:right="900" w:bottom="1200" w:left="900" w:header="0" w:footer="928" w:gutter="0"/>
        </w:sectPr>
      </w:pPr>
    </w:p>
    <w:p>
      <w:pPr>
        <w:pStyle w:val="25"/>
        <w:numPr>
          <w:ilvl w:val="0"/>
          <w:numId w:val="13"/>
        </w:numPr>
        <w:tabs>
          <w:tab w:val="left" w:pos="1315"/>
        </w:tabs>
        <w:spacing w:before="38" w:after="0" w:line="240" w:lineRule="auto"/>
        <w:ind w:left="1314" w:right="0" w:hanging="602"/>
        <w:jc w:val="left"/>
        <w:rPr>
          <w:color w:val="auto"/>
          <w:sz w:val="24"/>
          <w:highlight w:val="none"/>
        </w:rPr>
      </w:pPr>
      <w:r>
        <w:rPr>
          <w:color w:val="auto"/>
          <w:sz w:val="24"/>
          <w:highlight w:val="none"/>
        </w:rPr>
        <w:t>投标单位与采购人或其他投标单位恶意串通的；</w:t>
      </w:r>
    </w:p>
    <w:p>
      <w:pPr>
        <w:pStyle w:val="25"/>
        <w:numPr>
          <w:ilvl w:val="0"/>
          <w:numId w:val="13"/>
        </w:numPr>
        <w:tabs>
          <w:tab w:val="left" w:pos="1315"/>
        </w:tabs>
        <w:spacing w:before="173" w:after="0" w:line="374" w:lineRule="auto"/>
        <w:ind w:left="715" w:right="5911" w:hanging="3"/>
        <w:jc w:val="left"/>
        <w:rPr>
          <w:b/>
          <w:color w:val="auto"/>
          <w:sz w:val="24"/>
          <w:highlight w:val="none"/>
        </w:rPr>
      </w:pPr>
      <w:r>
        <w:rPr>
          <w:color w:val="auto"/>
          <w:spacing w:val="-2"/>
          <w:sz w:val="24"/>
          <w:highlight w:val="none"/>
        </w:rPr>
        <w:t>磋商文件规定的其他情形。</w:t>
      </w:r>
      <w:r>
        <w:rPr>
          <w:b/>
          <w:color w:val="auto"/>
          <w:sz w:val="24"/>
          <w:highlight w:val="none"/>
        </w:rPr>
        <w:t>12．磋商响应文件有效期</w:t>
      </w:r>
    </w:p>
    <w:p>
      <w:pPr>
        <w:pStyle w:val="25"/>
        <w:numPr>
          <w:ilvl w:val="1"/>
          <w:numId w:val="14"/>
        </w:numPr>
        <w:tabs>
          <w:tab w:val="left" w:pos="1314"/>
        </w:tabs>
        <w:spacing w:before="1" w:after="0" w:line="374" w:lineRule="auto"/>
        <w:ind w:left="232" w:right="231" w:firstLine="480"/>
        <w:jc w:val="both"/>
        <w:rPr>
          <w:color w:val="auto"/>
          <w:sz w:val="24"/>
          <w:highlight w:val="none"/>
        </w:rPr>
      </w:pPr>
      <w:r>
        <w:rPr>
          <w:color w:val="auto"/>
          <w:spacing w:val="-2"/>
          <w:sz w:val="24"/>
          <w:highlight w:val="none"/>
        </w:rPr>
        <w:t>磋商响应文件有效期为磋商之日起九十</w:t>
      </w:r>
      <w:r>
        <w:rPr>
          <w:color w:val="auto"/>
          <w:spacing w:val="-7"/>
          <w:sz w:val="24"/>
          <w:highlight w:val="none"/>
        </w:rPr>
        <w:t>（90）个日历日</w:t>
      </w:r>
      <w:r>
        <w:rPr>
          <w:color w:val="auto"/>
          <w:sz w:val="24"/>
          <w:highlight w:val="none"/>
        </w:rPr>
        <w:t>（</w:t>
      </w:r>
      <w:r>
        <w:rPr>
          <w:color w:val="auto"/>
          <w:spacing w:val="-3"/>
          <w:sz w:val="24"/>
          <w:highlight w:val="none"/>
        </w:rPr>
        <w:t>成交投标单位的响应文件</w:t>
      </w:r>
      <w:r>
        <w:rPr>
          <w:color w:val="auto"/>
          <w:sz w:val="24"/>
          <w:highlight w:val="none"/>
        </w:rPr>
        <w:t>有效期与合同有效期一致）。投标单位的磋商响应文件有效期比磋商文件规定短的将被视为非响应性投标，按废标处理。</w:t>
      </w:r>
    </w:p>
    <w:p>
      <w:pPr>
        <w:pStyle w:val="25"/>
        <w:numPr>
          <w:ilvl w:val="1"/>
          <w:numId w:val="14"/>
        </w:numPr>
        <w:tabs>
          <w:tab w:val="left" w:pos="1314"/>
        </w:tabs>
        <w:spacing w:before="1" w:after="0" w:line="374" w:lineRule="auto"/>
        <w:ind w:left="232" w:right="232" w:firstLine="480"/>
        <w:jc w:val="both"/>
        <w:rPr>
          <w:color w:val="auto"/>
          <w:sz w:val="24"/>
          <w:highlight w:val="none"/>
        </w:rPr>
      </w:pPr>
      <w:r>
        <w:rPr>
          <w:color w:val="auto"/>
          <w:spacing w:val="-9"/>
          <w:sz w:val="24"/>
          <w:highlight w:val="none"/>
        </w:rPr>
        <w:t>在特殊情况下，在原磋商响应文件有效期期满之前，招标采购单位可征得投标单位</w:t>
      </w:r>
      <w:r>
        <w:rPr>
          <w:color w:val="auto"/>
          <w:sz w:val="24"/>
          <w:highlight w:val="none"/>
        </w:rPr>
        <w:t>同意延长响应文件有效期。这种要求与答复均应为书面形式提交。</w:t>
      </w:r>
    </w:p>
    <w:p>
      <w:pPr>
        <w:pStyle w:val="6"/>
        <w:numPr>
          <w:ilvl w:val="0"/>
          <w:numId w:val="15"/>
        </w:numPr>
        <w:tabs>
          <w:tab w:val="left" w:pos="1201"/>
        </w:tabs>
        <w:spacing w:before="0" w:after="0" w:line="240" w:lineRule="auto"/>
        <w:ind w:left="1200" w:right="0" w:hanging="486"/>
        <w:jc w:val="left"/>
        <w:rPr>
          <w:color w:val="auto"/>
          <w:highlight w:val="none"/>
        </w:rPr>
      </w:pPr>
      <w:r>
        <w:rPr>
          <w:color w:val="auto"/>
          <w:w w:val="95"/>
          <w:highlight w:val="none"/>
        </w:rPr>
        <w:t>磋商响应文件的制作和签署</w:t>
      </w:r>
    </w:p>
    <w:p>
      <w:pPr>
        <w:pStyle w:val="25"/>
        <w:numPr>
          <w:ilvl w:val="1"/>
          <w:numId w:val="15"/>
        </w:numPr>
        <w:tabs>
          <w:tab w:val="left" w:pos="1254"/>
        </w:tabs>
        <w:spacing w:before="173" w:after="0" w:line="374" w:lineRule="auto"/>
        <w:ind w:left="232" w:right="113" w:firstLine="480"/>
        <w:jc w:val="left"/>
        <w:rPr>
          <w:color w:val="auto"/>
          <w:sz w:val="24"/>
          <w:highlight w:val="none"/>
        </w:rPr>
      </w:pPr>
      <w:r>
        <w:rPr>
          <w:color w:val="auto"/>
          <w:sz w:val="24"/>
          <w:highlight w:val="none"/>
        </w:rPr>
        <w:t>为确保采购项目顺利开展，本项目采用电子投标文件与纸质投标文件并行的方式。供应商在投标时须同时提供电子投标文件和纸质投标文件。投标供应商应确保电子投标文件</w:t>
      </w:r>
      <w:r>
        <w:rPr>
          <w:color w:val="auto"/>
          <w:spacing w:val="-3"/>
          <w:sz w:val="24"/>
          <w:highlight w:val="none"/>
        </w:rPr>
        <w:t>与纸质投标文件一致</w:t>
      </w:r>
      <w:r>
        <w:rPr>
          <w:color w:val="auto"/>
          <w:sz w:val="24"/>
          <w:highlight w:val="none"/>
        </w:rPr>
        <w:t>（</w:t>
      </w:r>
      <w:r>
        <w:rPr>
          <w:color w:val="auto"/>
          <w:spacing w:val="-5"/>
          <w:sz w:val="24"/>
          <w:highlight w:val="none"/>
        </w:rPr>
        <w:t>包括但不限于文字、图片、签章等</w:t>
      </w:r>
      <w:r>
        <w:rPr>
          <w:color w:val="auto"/>
          <w:spacing w:val="-19"/>
          <w:sz w:val="24"/>
          <w:highlight w:val="none"/>
        </w:rPr>
        <w:t>）（</w:t>
      </w:r>
      <w:r>
        <w:rPr>
          <w:b/>
          <w:color w:val="auto"/>
          <w:spacing w:val="-1"/>
          <w:sz w:val="24"/>
          <w:highlight w:val="none"/>
        </w:rPr>
        <w:t>磋商响应文件必须按要求签字、</w:t>
      </w:r>
      <w:r>
        <w:rPr>
          <w:b/>
          <w:color w:val="auto"/>
          <w:sz w:val="24"/>
          <w:highlight w:val="none"/>
        </w:rPr>
        <w:t>盖章，逐页加盖供应商公章（电子版和纸质版一致</w:t>
      </w:r>
      <w:r>
        <w:rPr>
          <w:b/>
          <w:color w:val="auto"/>
          <w:spacing w:val="3"/>
          <w:sz w:val="24"/>
          <w:highlight w:val="none"/>
        </w:rPr>
        <w:t>）</w:t>
      </w:r>
      <w:r>
        <w:rPr>
          <w:color w:val="auto"/>
          <w:sz w:val="24"/>
          <w:highlight w:val="none"/>
        </w:rPr>
        <w:t>，若纸质与电子投标文件不一致，评标委员会将按最不利于投标供应商的原则对投标文件做出评判，因此导致废标或未中标，投标供应商自行承担责任。</w:t>
      </w:r>
    </w:p>
    <w:p>
      <w:pPr>
        <w:pStyle w:val="6"/>
        <w:numPr>
          <w:ilvl w:val="2"/>
          <w:numId w:val="15"/>
        </w:numPr>
        <w:tabs>
          <w:tab w:val="left" w:pos="1503"/>
        </w:tabs>
        <w:spacing w:before="2" w:after="0" w:line="374" w:lineRule="auto"/>
        <w:ind w:left="232" w:right="234" w:firstLine="482"/>
        <w:jc w:val="both"/>
        <w:rPr>
          <w:color w:val="auto"/>
          <w:highlight w:val="none"/>
        </w:rPr>
      </w:pPr>
      <w:r>
        <w:rPr>
          <w:color w:val="auto"/>
          <w:spacing w:val="-5"/>
          <w:w w:val="95"/>
          <w:highlight w:val="none"/>
        </w:rPr>
        <w:t>磋商响应文件必须按要求签字、盖章，逐页加盖供应商公章，工程量清单须加盖</w:t>
      </w:r>
      <w:r>
        <w:rPr>
          <w:color w:val="auto"/>
          <w:spacing w:val="-5"/>
          <w:highlight w:val="none"/>
        </w:rPr>
        <w:t>法人章、供应商公章、造价员印章。（</w:t>
      </w:r>
      <w:r>
        <w:rPr>
          <w:color w:val="auto"/>
          <w:spacing w:val="-6"/>
          <w:highlight w:val="none"/>
        </w:rPr>
        <w:t>注：磋商响应文件中需要签字之处必须签字，其他无</w:t>
      </w:r>
      <w:r>
        <w:rPr>
          <w:color w:val="auto"/>
          <w:spacing w:val="-1"/>
          <w:highlight w:val="none"/>
        </w:rPr>
        <w:t>效，由此造成一切后果自负。若纸质与电子投标文件不一致，评标委员会将按最不利于投标</w:t>
      </w:r>
      <w:r>
        <w:rPr>
          <w:color w:val="auto"/>
          <w:highlight w:val="none"/>
        </w:rPr>
        <w:t>供应商的原则对投标文件做出评判，因此导致废标或未中标，投标供应商自行承担责任。</w:t>
      </w:r>
      <w:r>
        <w:rPr>
          <w:color w:val="auto"/>
          <w:spacing w:val="-12"/>
          <w:highlight w:val="none"/>
        </w:rPr>
        <w:t>）</w:t>
      </w:r>
    </w:p>
    <w:p>
      <w:pPr>
        <w:pStyle w:val="25"/>
        <w:numPr>
          <w:ilvl w:val="1"/>
          <w:numId w:val="15"/>
        </w:numPr>
        <w:tabs>
          <w:tab w:val="left" w:pos="1314"/>
        </w:tabs>
        <w:spacing w:before="2" w:after="0" w:line="374" w:lineRule="auto"/>
        <w:ind w:left="232" w:right="110" w:firstLine="480"/>
        <w:jc w:val="left"/>
        <w:rPr>
          <w:color w:val="auto"/>
          <w:sz w:val="24"/>
          <w:highlight w:val="none"/>
        </w:rPr>
      </w:pPr>
      <w:r>
        <w:rPr>
          <w:color w:val="auto"/>
          <w:sz w:val="24"/>
          <w:highlight w:val="none"/>
        </w:rPr>
        <w:t>编制电子投标文件时，应使用最新发布的电子招标文件及专用制作工具进行编制。</w:t>
      </w:r>
      <w:r>
        <w:rPr>
          <w:color w:val="auto"/>
          <w:spacing w:val="-3"/>
          <w:sz w:val="24"/>
          <w:highlight w:val="none"/>
        </w:rPr>
        <w:t>并使用数字认证证书</w:t>
      </w:r>
      <w:r>
        <w:rPr>
          <w:color w:val="auto"/>
          <w:spacing w:val="-5"/>
          <w:sz w:val="24"/>
          <w:highlight w:val="none"/>
        </w:rPr>
        <w:t>（CA）对电子投标文件进行签署、加密、递交及开标时解密等相关操作。</w:t>
      </w:r>
    </w:p>
    <w:p>
      <w:pPr>
        <w:pStyle w:val="25"/>
        <w:numPr>
          <w:ilvl w:val="0"/>
          <w:numId w:val="16"/>
        </w:numPr>
        <w:tabs>
          <w:tab w:val="left" w:pos="1315"/>
        </w:tabs>
        <w:spacing w:before="0" w:after="0" w:line="240" w:lineRule="auto"/>
        <w:ind w:left="1314" w:right="0" w:hanging="602"/>
        <w:jc w:val="left"/>
        <w:rPr>
          <w:color w:val="auto"/>
          <w:sz w:val="24"/>
          <w:highlight w:val="none"/>
        </w:rPr>
      </w:pPr>
      <w:r>
        <w:rPr>
          <w:color w:val="auto"/>
          <w:sz w:val="24"/>
          <w:highlight w:val="none"/>
        </w:rPr>
        <w:t>电子招标文件下载</w:t>
      </w:r>
    </w:p>
    <w:p>
      <w:pPr>
        <w:pStyle w:val="7"/>
        <w:spacing w:before="173" w:line="374" w:lineRule="auto"/>
        <w:ind w:right="233" w:firstLine="480"/>
        <w:rPr>
          <w:color w:val="auto"/>
          <w:highlight w:val="none"/>
        </w:rPr>
      </w:pPr>
      <w:r>
        <w:rPr>
          <w:color w:val="auto"/>
          <w:highlight w:val="none"/>
        </w:rPr>
        <w:t>供应商登录全国公共资源交易平台（陕西省）网站[电子交易平台-企业端]后，在[我的项目]中点击“项目流程-交易文件下载”下载电子招标文件（*.SXSZF）;</w:t>
      </w:r>
    </w:p>
    <w:p>
      <w:pPr>
        <w:pStyle w:val="7"/>
        <w:spacing w:line="374" w:lineRule="auto"/>
        <w:ind w:right="229" w:firstLine="480"/>
        <w:rPr>
          <w:color w:val="auto"/>
          <w:highlight w:val="none"/>
        </w:rPr>
      </w:pPr>
      <w:r>
        <w:rPr>
          <w:color w:val="auto"/>
          <w:spacing w:val="-10"/>
          <w:highlight w:val="none"/>
        </w:rPr>
        <w:t>注意：该项目如有变更文件，则应点击“项目流程&gt;答疑文件下载”下载更新后的电子招</w:t>
      </w:r>
      <w:r>
        <w:rPr>
          <w:color w:val="auto"/>
          <w:highlight w:val="none"/>
        </w:rPr>
        <w:t>标文件（*.SXSCF），使用旧版电子招标文件制作的电子投标文件，系统将拒绝接收。</w:t>
      </w:r>
    </w:p>
    <w:p>
      <w:pPr>
        <w:pStyle w:val="25"/>
        <w:numPr>
          <w:ilvl w:val="0"/>
          <w:numId w:val="16"/>
        </w:numPr>
        <w:tabs>
          <w:tab w:val="left" w:pos="1315"/>
        </w:tabs>
        <w:spacing w:before="2" w:after="0" w:line="240" w:lineRule="auto"/>
        <w:ind w:left="1314" w:right="0" w:hanging="602"/>
        <w:jc w:val="left"/>
        <w:rPr>
          <w:color w:val="auto"/>
          <w:sz w:val="24"/>
          <w:highlight w:val="none"/>
        </w:rPr>
      </w:pPr>
      <w:r>
        <w:rPr>
          <w:color w:val="auto"/>
          <w:sz w:val="24"/>
          <w:highlight w:val="none"/>
        </w:rPr>
        <w:t>电子招标文件需要使用专用软件打开、浏览</w:t>
      </w:r>
    </w:p>
    <w:p>
      <w:pPr>
        <w:pStyle w:val="7"/>
        <w:spacing w:before="172" w:line="374" w:lineRule="auto"/>
        <w:ind w:right="231" w:firstLine="480"/>
        <w:jc w:val="both"/>
        <w:rPr>
          <w:color w:val="auto"/>
          <w:highlight w:val="none"/>
        </w:rPr>
      </w:pPr>
      <w:r>
        <w:rPr>
          <w:color w:val="auto"/>
          <w:spacing w:val="-2"/>
          <w:highlight w:val="none"/>
        </w:rPr>
        <w:t>供应商登录全国公共资源交易平台</w:t>
      </w:r>
      <w:r>
        <w:rPr>
          <w:color w:val="auto"/>
          <w:highlight w:val="none"/>
        </w:rPr>
        <w:t>（陕西省</w:t>
      </w:r>
      <w:r>
        <w:rPr>
          <w:color w:val="auto"/>
          <w:spacing w:val="-29"/>
          <w:highlight w:val="none"/>
        </w:rPr>
        <w:t>）</w:t>
      </w:r>
      <w:r>
        <w:rPr>
          <w:color w:val="auto"/>
          <w:spacing w:val="-3"/>
          <w:highlight w:val="none"/>
        </w:rPr>
        <w:t>网站[服务指南-下载专区]免费下载《陕西</w:t>
      </w:r>
      <w:r>
        <w:rPr>
          <w:color w:val="auto"/>
          <w:highlight w:val="none"/>
        </w:rPr>
        <w:t>省公共资源交易平台政府采购电子标书制作工具(V8.0.0.2)</w:t>
      </w:r>
      <w:r>
        <w:rPr>
          <w:color w:val="auto"/>
          <w:spacing w:val="-1"/>
          <w:highlight w:val="none"/>
        </w:rPr>
        <w:t>》，并升级至最新版本，使用该</w:t>
      </w:r>
      <w:r>
        <w:rPr>
          <w:color w:val="auto"/>
          <w:spacing w:val="-3"/>
          <w:highlight w:val="none"/>
        </w:rPr>
        <w:t>客户端可以打开电子招标文件。软件操作手册详见全国公共资源交易平台</w:t>
      </w:r>
      <w:r>
        <w:rPr>
          <w:color w:val="auto"/>
          <w:highlight w:val="none"/>
        </w:rPr>
        <w:t>（陕西省</w:t>
      </w:r>
      <w:r>
        <w:rPr>
          <w:color w:val="auto"/>
          <w:spacing w:val="-27"/>
          <w:highlight w:val="none"/>
        </w:rPr>
        <w:t>）</w:t>
      </w:r>
      <w:r>
        <w:rPr>
          <w:color w:val="auto"/>
          <w:spacing w:val="-5"/>
          <w:highlight w:val="none"/>
        </w:rPr>
        <w:t>网站[服</w:t>
      </w:r>
    </w:p>
    <w:p>
      <w:pPr>
        <w:spacing w:after="0" w:line="374" w:lineRule="auto"/>
        <w:jc w:val="both"/>
        <w:rPr>
          <w:color w:val="auto"/>
          <w:highlight w:val="none"/>
        </w:rPr>
        <w:sectPr>
          <w:pgSz w:w="11910" w:h="16840"/>
          <w:pgMar w:top="1220" w:right="900" w:bottom="1200" w:left="900" w:header="0" w:footer="928" w:gutter="0"/>
        </w:sectPr>
      </w:pPr>
    </w:p>
    <w:p>
      <w:pPr>
        <w:pStyle w:val="7"/>
        <w:tabs>
          <w:tab w:val="left" w:pos="1408"/>
          <w:tab w:val="left" w:pos="2581"/>
          <w:tab w:val="left" w:pos="3757"/>
          <w:tab w:val="left" w:pos="4930"/>
          <w:tab w:val="left" w:pos="6106"/>
          <w:tab w:val="left" w:pos="7280"/>
          <w:tab w:val="left" w:pos="8455"/>
          <w:tab w:val="left" w:pos="9629"/>
        </w:tabs>
        <w:spacing w:before="38" w:line="374" w:lineRule="auto"/>
        <w:ind w:right="110"/>
        <w:rPr>
          <w:color w:val="auto"/>
          <w:highlight w:val="none"/>
        </w:rPr>
      </w:pPr>
      <w:r>
        <w:rPr>
          <w:color w:val="auto"/>
          <w:highlight w:val="none"/>
        </w:rPr>
        <w:t>务指南-下载专区]中</w:t>
      </w:r>
      <w:r>
        <w:rPr>
          <w:color w:val="auto"/>
          <w:spacing w:val="-22"/>
          <w:highlight w:val="none"/>
        </w:rPr>
        <w:t>的</w:t>
      </w:r>
      <w:r>
        <w:rPr>
          <w:color w:val="auto"/>
          <w:highlight w:val="none"/>
        </w:rPr>
        <w:t>《陕西省公共资源交</w:t>
      </w:r>
      <w:r>
        <w:rPr>
          <w:color w:val="auto"/>
          <w:spacing w:val="-20"/>
          <w:highlight w:val="none"/>
        </w:rPr>
        <w:t>易</w:t>
      </w:r>
      <w:r>
        <w:rPr>
          <w:color w:val="auto"/>
          <w:highlight w:val="none"/>
        </w:rPr>
        <w:t>（政府采购类</w:t>
      </w:r>
      <w:r>
        <w:rPr>
          <w:color w:val="auto"/>
          <w:spacing w:val="-22"/>
          <w:highlight w:val="none"/>
        </w:rPr>
        <w:t>）</w:t>
      </w:r>
      <w:r>
        <w:rPr>
          <w:color w:val="auto"/>
          <w:highlight w:val="none"/>
        </w:rPr>
        <w:t>投标文件制作软件操作手册</w:t>
      </w:r>
      <w:r>
        <w:rPr>
          <w:color w:val="auto"/>
          <w:spacing w:val="-20"/>
          <w:highlight w:val="none"/>
        </w:rPr>
        <w:t>》</w:t>
      </w:r>
      <w:r>
        <w:rPr>
          <w:color w:val="auto"/>
          <w:spacing w:val="-13"/>
          <w:highlight w:val="none"/>
        </w:rPr>
        <w:t xml:space="preserve">； </w:t>
      </w:r>
      <w:r>
        <w:rPr>
          <w:color w:val="auto"/>
          <w:highlight w:val="none"/>
        </w:rPr>
        <w:t>制</w:t>
      </w:r>
      <w:r>
        <w:rPr>
          <w:color w:val="auto"/>
          <w:highlight w:val="none"/>
        </w:rPr>
        <w:tab/>
      </w:r>
      <w:r>
        <w:rPr>
          <w:color w:val="auto"/>
          <w:highlight w:val="none"/>
        </w:rPr>
        <w:t>作</w:t>
      </w:r>
      <w:r>
        <w:rPr>
          <w:color w:val="auto"/>
          <w:highlight w:val="none"/>
        </w:rPr>
        <w:tab/>
      </w:r>
      <w:r>
        <w:rPr>
          <w:color w:val="auto"/>
          <w:highlight w:val="none"/>
        </w:rPr>
        <w:t>工</w:t>
      </w:r>
      <w:r>
        <w:rPr>
          <w:color w:val="auto"/>
          <w:highlight w:val="none"/>
        </w:rPr>
        <w:tab/>
      </w:r>
      <w:r>
        <w:rPr>
          <w:color w:val="auto"/>
          <w:highlight w:val="none"/>
        </w:rPr>
        <w:t>具</w:t>
      </w:r>
      <w:r>
        <w:rPr>
          <w:color w:val="auto"/>
          <w:highlight w:val="none"/>
        </w:rPr>
        <w:tab/>
      </w:r>
      <w:r>
        <w:rPr>
          <w:color w:val="auto"/>
          <w:highlight w:val="none"/>
        </w:rPr>
        <w:t>下</w:t>
      </w:r>
      <w:r>
        <w:rPr>
          <w:color w:val="auto"/>
          <w:highlight w:val="none"/>
        </w:rPr>
        <w:tab/>
      </w:r>
      <w:r>
        <w:rPr>
          <w:color w:val="auto"/>
          <w:highlight w:val="none"/>
        </w:rPr>
        <w:t>载</w:t>
      </w:r>
      <w:r>
        <w:rPr>
          <w:color w:val="auto"/>
          <w:highlight w:val="none"/>
        </w:rPr>
        <w:tab/>
      </w:r>
      <w:r>
        <w:rPr>
          <w:color w:val="auto"/>
          <w:highlight w:val="none"/>
        </w:rPr>
        <w:t>地</w:t>
      </w:r>
      <w:r>
        <w:rPr>
          <w:color w:val="auto"/>
          <w:highlight w:val="none"/>
        </w:rPr>
        <w:tab/>
      </w:r>
      <w:r>
        <w:rPr>
          <w:color w:val="auto"/>
          <w:highlight w:val="none"/>
        </w:rPr>
        <w:t>址</w:t>
      </w:r>
      <w:r>
        <w:rPr>
          <w:color w:val="auto"/>
          <w:highlight w:val="none"/>
        </w:rPr>
        <w:tab/>
      </w:r>
      <w:r>
        <w:rPr>
          <w:color w:val="auto"/>
          <w:highlight w:val="none"/>
        </w:rPr>
        <w:t>： https://zhidao.bqpoint.com/epointknow2/bqepointknowquestion.html?producttype=1&amp;p latformguid=684edb0d-467c-4a6a-b31b-9e7929e1fdee&amp;areacode=610000&amp;CategoryCode=16</w:t>
      </w:r>
    </w:p>
    <w:p>
      <w:pPr>
        <w:pStyle w:val="25"/>
        <w:numPr>
          <w:ilvl w:val="0"/>
          <w:numId w:val="16"/>
        </w:numPr>
        <w:tabs>
          <w:tab w:val="left" w:pos="1315"/>
        </w:tabs>
        <w:spacing w:before="2" w:after="0" w:line="240" w:lineRule="auto"/>
        <w:ind w:left="1314" w:right="0" w:hanging="602"/>
        <w:jc w:val="left"/>
        <w:rPr>
          <w:color w:val="auto"/>
          <w:sz w:val="24"/>
          <w:highlight w:val="none"/>
        </w:rPr>
      </w:pPr>
      <w:r>
        <w:rPr>
          <w:color w:val="auto"/>
          <w:sz w:val="24"/>
          <w:highlight w:val="none"/>
        </w:rPr>
        <w:t>制作电子投标文件</w:t>
      </w:r>
    </w:p>
    <w:p>
      <w:pPr>
        <w:pStyle w:val="7"/>
        <w:spacing w:before="172" w:line="374" w:lineRule="auto"/>
        <w:ind w:right="240" w:firstLine="480"/>
        <w:rPr>
          <w:color w:val="auto"/>
          <w:highlight w:val="none"/>
        </w:rPr>
      </w:pPr>
      <w:r>
        <w:rPr>
          <w:color w:val="auto"/>
          <w:highlight w:val="none"/>
        </w:rPr>
        <w:t>电子投标文件同样需要使用上述软件进行编制。在编制过程中，如有技术性问题，请先翻阅操作手册或致电软件开发商，技术支持热线：4009280095、4009980000；</w:t>
      </w:r>
    </w:p>
    <w:p>
      <w:pPr>
        <w:pStyle w:val="25"/>
        <w:numPr>
          <w:ilvl w:val="1"/>
          <w:numId w:val="15"/>
        </w:numPr>
        <w:tabs>
          <w:tab w:val="left" w:pos="1314"/>
        </w:tabs>
        <w:spacing w:before="1" w:after="0" w:line="240" w:lineRule="auto"/>
        <w:ind w:left="1313" w:right="0" w:hanging="601"/>
        <w:jc w:val="left"/>
        <w:rPr>
          <w:color w:val="auto"/>
          <w:sz w:val="24"/>
          <w:highlight w:val="none"/>
        </w:rPr>
      </w:pPr>
      <w:r>
        <w:rPr>
          <w:color w:val="auto"/>
          <w:sz w:val="24"/>
          <w:highlight w:val="none"/>
        </w:rPr>
        <w:t>纸质投标文件</w:t>
      </w:r>
    </w:p>
    <w:p>
      <w:pPr>
        <w:pStyle w:val="25"/>
        <w:numPr>
          <w:ilvl w:val="2"/>
          <w:numId w:val="15"/>
        </w:numPr>
        <w:tabs>
          <w:tab w:val="left" w:pos="1554"/>
        </w:tabs>
        <w:spacing w:before="172" w:after="0" w:line="240" w:lineRule="auto"/>
        <w:ind w:left="1553" w:right="0" w:hanging="841"/>
        <w:jc w:val="left"/>
        <w:rPr>
          <w:color w:val="auto"/>
          <w:sz w:val="24"/>
          <w:highlight w:val="none"/>
        </w:rPr>
      </w:pPr>
      <w:r>
        <w:rPr>
          <w:color w:val="auto"/>
          <w:sz w:val="24"/>
          <w:highlight w:val="none"/>
        </w:rPr>
        <w:t>投标文件构成和格式</w:t>
      </w:r>
    </w:p>
    <w:p>
      <w:pPr>
        <w:pStyle w:val="25"/>
        <w:numPr>
          <w:ilvl w:val="0"/>
          <w:numId w:val="17"/>
        </w:numPr>
        <w:tabs>
          <w:tab w:val="left" w:pos="1315"/>
        </w:tabs>
        <w:spacing w:before="173" w:after="0" w:line="374" w:lineRule="auto"/>
        <w:ind w:left="232" w:right="230" w:firstLine="480"/>
        <w:jc w:val="left"/>
        <w:rPr>
          <w:color w:val="auto"/>
          <w:sz w:val="24"/>
          <w:highlight w:val="none"/>
        </w:rPr>
      </w:pPr>
      <w:r>
        <w:rPr>
          <w:color w:val="auto"/>
          <w:spacing w:val="-4"/>
          <w:sz w:val="24"/>
          <w:highlight w:val="none"/>
        </w:rPr>
        <w:t>供应商编写的投标文件应包括，但不限于下列部分，请按招标文件提供的相应格式并依照下列顺序编写：</w:t>
      </w:r>
    </w:p>
    <w:p>
      <w:pPr>
        <w:pStyle w:val="7"/>
        <w:spacing w:before="1"/>
        <w:ind w:left="713"/>
        <w:rPr>
          <w:color w:val="auto"/>
          <w:highlight w:val="none"/>
        </w:rPr>
      </w:pPr>
      <w:r>
        <w:rPr>
          <w:color w:val="auto"/>
          <w:highlight w:val="none"/>
        </w:rPr>
        <w:t>①响应函</w:t>
      </w:r>
    </w:p>
    <w:p>
      <w:pPr>
        <w:pStyle w:val="7"/>
        <w:spacing w:before="173"/>
        <w:ind w:left="713"/>
        <w:rPr>
          <w:color w:val="auto"/>
          <w:highlight w:val="none"/>
        </w:rPr>
      </w:pPr>
      <w:r>
        <w:rPr>
          <w:color w:val="auto"/>
          <w:highlight w:val="none"/>
        </w:rPr>
        <w:t>②法定代表人授权委托书</w:t>
      </w:r>
    </w:p>
    <w:p>
      <w:pPr>
        <w:pStyle w:val="7"/>
        <w:spacing w:before="172"/>
        <w:ind w:left="713"/>
        <w:rPr>
          <w:color w:val="auto"/>
          <w:highlight w:val="none"/>
        </w:rPr>
      </w:pPr>
      <w:r>
        <w:rPr>
          <w:color w:val="auto"/>
          <w:highlight w:val="none"/>
        </w:rPr>
        <w:t>③报价一览表</w:t>
      </w:r>
    </w:p>
    <w:p>
      <w:pPr>
        <w:pStyle w:val="7"/>
        <w:spacing w:before="173"/>
        <w:ind w:left="713"/>
        <w:rPr>
          <w:color w:val="auto"/>
          <w:highlight w:val="none"/>
        </w:rPr>
      </w:pPr>
      <w:r>
        <w:rPr>
          <w:color w:val="auto"/>
          <w:highlight w:val="none"/>
        </w:rPr>
        <w:t>④已标价工程量清单</w:t>
      </w:r>
    </w:p>
    <w:p>
      <w:pPr>
        <w:pStyle w:val="7"/>
        <w:spacing w:before="172"/>
        <w:ind w:left="713"/>
        <w:rPr>
          <w:color w:val="auto"/>
          <w:highlight w:val="none"/>
        </w:rPr>
      </w:pPr>
      <w:r>
        <w:rPr>
          <w:color w:val="auto"/>
          <w:highlight w:val="none"/>
        </w:rPr>
        <w:t>⑤</w:t>
      </w:r>
      <w:r>
        <w:rPr>
          <w:rFonts w:hint="eastAsia"/>
          <w:color w:val="auto"/>
          <w:highlight w:val="none"/>
          <w:lang w:eastAsia="zh-CN"/>
        </w:rPr>
        <w:t>投标单位</w:t>
      </w:r>
      <w:r>
        <w:rPr>
          <w:color w:val="auto"/>
          <w:highlight w:val="none"/>
        </w:rPr>
        <w:t>资格证明文件</w:t>
      </w:r>
    </w:p>
    <w:p>
      <w:pPr>
        <w:pStyle w:val="7"/>
        <w:spacing w:before="173"/>
        <w:ind w:left="713"/>
        <w:rPr>
          <w:color w:val="auto"/>
          <w:highlight w:val="none"/>
        </w:rPr>
      </w:pPr>
      <w:r>
        <w:rPr>
          <w:color w:val="auto"/>
          <w:highlight w:val="none"/>
        </w:rPr>
        <w:t>⑥商务响应偏离表</w:t>
      </w:r>
    </w:p>
    <w:p>
      <w:pPr>
        <w:pStyle w:val="7"/>
        <w:spacing w:before="172"/>
        <w:ind w:left="713"/>
        <w:rPr>
          <w:color w:val="auto"/>
          <w:highlight w:val="none"/>
        </w:rPr>
      </w:pPr>
      <w:r>
        <w:rPr>
          <w:color w:val="auto"/>
          <w:highlight w:val="none"/>
        </w:rPr>
        <w:t>⑦投标方案</w:t>
      </w:r>
    </w:p>
    <w:p>
      <w:pPr>
        <w:pStyle w:val="7"/>
        <w:spacing w:before="173"/>
        <w:ind w:left="713"/>
        <w:rPr>
          <w:color w:val="auto"/>
          <w:highlight w:val="none"/>
        </w:rPr>
      </w:pPr>
      <w:r>
        <w:rPr>
          <w:color w:val="auto"/>
          <w:highlight w:val="none"/>
        </w:rPr>
        <w:t>⑧供应商业绩</w:t>
      </w:r>
    </w:p>
    <w:p>
      <w:pPr>
        <w:pStyle w:val="7"/>
        <w:spacing w:before="172"/>
        <w:ind w:left="713"/>
        <w:rPr>
          <w:color w:val="auto"/>
          <w:highlight w:val="none"/>
        </w:rPr>
      </w:pPr>
      <w:r>
        <w:rPr>
          <w:color w:val="auto"/>
          <w:highlight w:val="none"/>
        </w:rPr>
        <w:t>⑨投标单位拒绝政府采购领域商业贿赂承诺书</w:t>
      </w:r>
    </w:p>
    <w:p>
      <w:pPr>
        <w:pStyle w:val="25"/>
        <w:numPr>
          <w:ilvl w:val="0"/>
          <w:numId w:val="17"/>
        </w:numPr>
        <w:tabs>
          <w:tab w:val="left" w:pos="1315"/>
        </w:tabs>
        <w:spacing w:before="173" w:after="0" w:line="374" w:lineRule="auto"/>
        <w:ind w:left="232" w:right="232" w:firstLine="480"/>
        <w:jc w:val="left"/>
        <w:rPr>
          <w:color w:val="auto"/>
          <w:sz w:val="24"/>
          <w:highlight w:val="none"/>
        </w:rPr>
      </w:pPr>
      <w:r>
        <w:rPr>
          <w:color w:val="auto"/>
          <w:spacing w:val="-6"/>
          <w:sz w:val="24"/>
          <w:highlight w:val="none"/>
        </w:rPr>
        <w:t xml:space="preserve">供应商应按照本须知第 </w:t>
      </w:r>
      <w:r>
        <w:rPr>
          <w:color w:val="auto"/>
          <w:sz w:val="24"/>
          <w:highlight w:val="none"/>
        </w:rPr>
        <w:t>8.1</w:t>
      </w:r>
      <w:r>
        <w:rPr>
          <w:color w:val="auto"/>
          <w:spacing w:val="-10"/>
          <w:sz w:val="24"/>
          <w:highlight w:val="none"/>
        </w:rPr>
        <w:t xml:space="preserve"> 条的内容及第五章提供的格式编写投标文件，不得缺</w:t>
      </w:r>
      <w:r>
        <w:rPr>
          <w:color w:val="auto"/>
          <w:spacing w:val="-4"/>
          <w:sz w:val="24"/>
          <w:highlight w:val="none"/>
        </w:rPr>
        <w:t>少招标文件要求填写的表格或提交的资料。</w:t>
      </w:r>
    </w:p>
    <w:p>
      <w:pPr>
        <w:pStyle w:val="25"/>
        <w:numPr>
          <w:ilvl w:val="0"/>
          <w:numId w:val="17"/>
        </w:numPr>
        <w:tabs>
          <w:tab w:val="left" w:pos="1315"/>
        </w:tabs>
        <w:spacing w:before="1" w:after="0" w:line="374" w:lineRule="auto"/>
        <w:ind w:left="232" w:right="232" w:firstLine="480"/>
        <w:jc w:val="left"/>
        <w:rPr>
          <w:color w:val="auto"/>
          <w:sz w:val="24"/>
          <w:highlight w:val="none"/>
        </w:rPr>
      </w:pPr>
      <w:r>
        <w:rPr>
          <w:color w:val="auto"/>
          <w:spacing w:val="-4"/>
          <w:sz w:val="24"/>
          <w:highlight w:val="none"/>
        </w:rPr>
        <w:t xml:space="preserve">供应商应将投标文件按本须知第 </w:t>
      </w:r>
      <w:r>
        <w:rPr>
          <w:color w:val="auto"/>
          <w:sz w:val="24"/>
          <w:highlight w:val="none"/>
        </w:rPr>
        <w:t>8.1</w:t>
      </w:r>
      <w:r>
        <w:rPr>
          <w:color w:val="auto"/>
          <w:spacing w:val="-11"/>
          <w:sz w:val="24"/>
          <w:highlight w:val="none"/>
        </w:rPr>
        <w:t xml:space="preserve"> 条规定的顺序编排并应编制目录，逐页标注</w:t>
      </w:r>
      <w:r>
        <w:rPr>
          <w:color w:val="auto"/>
          <w:spacing w:val="-4"/>
          <w:sz w:val="24"/>
          <w:highlight w:val="none"/>
        </w:rPr>
        <w:t>连续页码，采用胶装方式装订成册。</w:t>
      </w:r>
    </w:p>
    <w:p>
      <w:pPr>
        <w:pStyle w:val="25"/>
        <w:numPr>
          <w:ilvl w:val="2"/>
          <w:numId w:val="18"/>
        </w:numPr>
        <w:tabs>
          <w:tab w:val="left" w:pos="1554"/>
        </w:tabs>
        <w:spacing w:before="0" w:after="0" w:line="374" w:lineRule="auto"/>
        <w:ind w:left="232" w:right="112" w:firstLine="480"/>
        <w:jc w:val="left"/>
        <w:rPr>
          <w:color w:val="auto"/>
          <w:sz w:val="24"/>
          <w:highlight w:val="none"/>
        </w:rPr>
      </w:pPr>
      <w:r>
        <w:rPr>
          <w:color w:val="auto"/>
          <w:spacing w:val="3"/>
          <w:sz w:val="24"/>
          <w:highlight w:val="none"/>
        </w:rPr>
        <w:t>供应商应提交投标文件正本</w:t>
      </w:r>
      <w:r>
        <w:rPr>
          <w:color w:val="auto"/>
          <w:sz w:val="24"/>
          <w:highlight w:val="none"/>
        </w:rPr>
        <w:t>1</w:t>
      </w:r>
      <w:r>
        <w:rPr>
          <w:color w:val="auto"/>
          <w:spacing w:val="-10"/>
          <w:sz w:val="24"/>
          <w:highlight w:val="none"/>
        </w:rPr>
        <w:t xml:space="preserve"> 份和副本</w:t>
      </w:r>
      <w:r>
        <w:rPr>
          <w:color w:val="auto"/>
          <w:sz w:val="24"/>
          <w:highlight w:val="none"/>
        </w:rPr>
        <w:t>1</w:t>
      </w:r>
      <w:r>
        <w:rPr>
          <w:color w:val="auto"/>
          <w:spacing w:val="-27"/>
          <w:sz w:val="24"/>
          <w:highlight w:val="none"/>
        </w:rPr>
        <w:t xml:space="preserve"> 份。每套投标文件须清楚地标明“正本”、</w:t>
      </w:r>
      <w:r>
        <w:rPr>
          <w:color w:val="auto"/>
          <w:sz w:val="24"/>
          <w:highlight w:val="none"/>
        </w:rPr>
        <w:t>“副本”。一旦正本和副本不符，以正本为准。供应商在提供纸质投标文件的同时提交电子</w:t>
      </w:r>
      <w:r>
        <w:rPr>
          <w:color w:val="auto"/>
          <w:spacing w:val="-30"/>
          <w:sz w:val="24"/>
          <w:highlight w:val="none"/>
        </w:rPr>
        <w:t xml:space="preserve">版 </w:t>
      </w:r>
      <w:r>
        <w:rPr>
          <w:color w:val="auto"/>
          <w:sz w:val="24"/>
          <w:highlight w:val="none"/>
        </w:rPr>
        <w:t>U</w:t>
      </w:r>
      <w:r>
        <w:rPr>
          <w:color w:val="auto"/>
          <w:spacing w:val="-40"/>
          <w:sz w:val="24"/>
          <w:highlight w:val="none"/>
        </w:rPr>
        <w:t xml:space="preserve"> 盘 </w:t>
      </w:r>
      <w:r>
        <w:rPr>
          <w:color w:val="auto"/>
          <w:sz w:val="24"/>
          <w:highlight w:val="none"/>
        </w:rPr>
        <w:t>1</w:t>
      </w:r>
      <w:r>
        <w:rPr>
          <w:color w:val="auto"/>
          <w:spacing w:val="-8"/>
          <w:sz w:val="24"/>
          <w:highlight w:val="none"/>
        </w:rPr>
        <w:t xml:space="preserve"> 份，放入投标文件正本中。</w:t>
      </w:r>
    </w:p>
    <w:p>
      <w:pPr>
        <w:pStyle w:val="25"/>
        <w:numPr>
          <w:ilvl w:val="2"/>
          <w:numId w:val="18"/>
        </w:numPr>
        <w:tabs>
          <w:tab w:val="left" w:pos="1554"/>
        </w:tabs>
        <w:spacing w:before="2" w:after="0" w:line="374" w:lineRule="auto"/>
        <w:ind w:left="232" w:right="231" w:firstLine="480"/>
        <w:jc w:val="left"/>
        <w:rPr>
          <w:color w:val="auto"/>
          <w:sz w:val="24"/>
          <w:highlight w:val="none"/>
        </w:rPr>
      </w:pPr>
      <w:r>
        <w:rPr>
          <w:color w:val="auto"/>
          <w:spacing w:val="-6"/>
          <w:sz w:val="24"/>
          <w:highlight w:val="none"/>
        </w:rPr>
        <w:t>投标文件按要求均应加盖供应商印章，并经法定代表人或其委托代理人签字或盖</w:t>
      </w:r>
      <w:r>
        <w:rPr>
          <w:color w:val="auto"/>
          <w:sz w:val="24"/>
          <w:highlight w:val="none"/>
        </w:rPr>
        <w:t>章。由委托代理人签字或盖章的，在投标文件中须同时提交法定代表人授权委托书。</w:t>
      </w:r>
    </w:p>
    <w:p>
      <w:pPr>
        <w:pStyle w:val="25"/>
        <w:numPr>
          <w:ilvl w:val="2"/>
          <w:numId w:val="18"/>
        </w:numPr>
        <w:tabs>
          <w:tab w:val="left" w:pos="1554"/>
        </w:tabs>
        <w:spacing w:before="0" w:after="0" w:line="240" w:lineRule="auto"/>
        <w:ind w:left="1553" w:right="0" w:hanging="841"/>
        <w:jc w:val="left"/>
        <w:rPr>
          <w:color w:val="auto"/>
          <w:sz w:val="24"/>
          <w:highlight w:val="none"/>
        </w:rPr>
      </w:pPr>
      <w:r>
        <w:rPr>
          <w:color w:val="auto"/>
          <w:spacing w:val="-6"/>
          <w:sz w:val="24"/>
          <w:highlight w:val="none"/>
        </w:rPr>
        <w:t>投标文件应以胶封方式装订成册。投标文件的正本和副本均需打印或使用不褪色</w:t>
      </w:r>
    </w:p>
    <w:p>
      <w:pPr>
        <w:spacing w:after="0" w:line="240" w:lineRule="auto"/>
        <w:jc w:val="left"/>
        <w:rPr>
          <w:color w:val="auto"/>
          <w:sz w:val="24"/>
          <w:highlight w:val="none"/>
        </w:rPr>
        <w:sectPr>
          <w:pgSz w:w="11910" w:h="16840"/>
          <w:pgMar w:top="1220" w:right="900" w:bottom="1200" w:left="900" w:header="0" w:footer="928" w:gutter="0"/>
        </w:sectPr>
      </w:pPr>
    </w:p>
    <w:p>
      <w:pPr>
        <w:pStyle w:val="7"/>
        <w:spacing w:before="38"/>
        <w:rPr>
          <w:color w:val="auto"/>
          <w:highlight w:val="none"/>
        </w:rPr>
      </w:pPr>
      <w:r>
        <w:rPr>
          <w:color w:val="auto"/>
          <w:highlight w:val="none"/>
        </w:rPr>
        <w:t>的蓝、黑墨水笔书写，字迹应清晰易于辨认。</w:t>
      </w:r>
    </w:p>
    <w:p>
      <w:pPr>
        <w:pStyle w:val="25"/>
        <w:numPr>
          <w:ilvl w:val="2"/>
          <w:numId w:val="18"/>
        </w:numPr>
        <w:tabs>
          <w:tab w:val="left" w:pos="1554"/>
        </w:tabs>
        <w:spacing w:before="173" w:after="0" w:line="374" w:lineRule="auto"/>
        <w:ind w:left="232" w:right="151" w:firstLine="480"/>
        <w:jc w:val="left"/>
        <w:rPr>
          <w:color w:val="auto"/>
          <w:sz w:val="24"/>
          <w:highlight w:val="none"/>
        </w:rPr>
      </w:pPr>
      <w:r>
        <w:rPr>
          <w:color w:val="auto"/>
          <w:spacing w:val="-1"/>
          <w:sz w:val="24"/>
          <w:highlight w:val="none"/>
        </w:rPr>
        <w:t xml:space="preserve">除供应商对投标文件错处做必要修改外，投标文件不得行间插字、涂改和增删， </w:t>
      </w:r>
      <w:r>
        <w:rPr>
          <w:color w:val="auto"/>
          <w:sz w:val="24"/>
          <w:highlight w:val="none"/>
        </w:rPr>
        <w:t>如有修改错漏处，须由供应商的法人或其授权代表在修改处签字后才有效。</w:t>
      </w:r>
    </w:p>
    <w:p>
      <w:pPr>
        <w:pStyle w:val="25"/>
        <w:numPr>
          <w:ilvl w:val="2"/>
          <w:numId w:val="18"/>
        </w:numPr>
        <w:tabs>
          <w:tab w:val="left" w:pos="1554"/>
        </w:tabs>
        <w:spacing w:before="1" w:after="0" w:line="240" w:lineRule="auto"/>
        <w:ind w:left="1553" w:right="0" w:hanging="841"/>
        <w:jc w:val="left"/>
        <w:rPr>
          <w:color w:val="auto"/>
          <w:sz w:val="24"/>
          <w:highlight w:val="none"/>
        </w:rPr>
      </w:pPr>
      <w:r>
        <w:rPr>
          <w:color w:val="auto"/>
          <w:sz w:val="24"/>
          <w:highlight w:val="none"/>
        </w:rPr>
        <w:t>投标文件因表述不清所引起的后果由供应商负责。</w:t>
      </w:r>
    </w:p>
    <w:p>
      <w:pPr>
        <w:pStyle w:val="25"/>
        <w:numPr>
          <w:ilvl w:val="2"/>
          <w:numId w:val="18"/>
        </w:numPr>
        <w:tabs>
          <w:tab w:val="left" w:pos="1554"/>
        </w:tabs>
        <w:spacing w:before="172" w:after="0" w:line="240" w:lineRule="auto"/>
        <w:ind w:left="1553" w:right="0" w:hanging="841"/>
        <w:jc w:val="left"/>
        <w:rPr>
          <w:color w:val="auto"/>
          <w:sz w:val="24"/>
          <w:highlight w:val="none"/>
        </w:rPr>
      </w:pPr>
      <w:r>
        <w:rPr>
          <w:color w:val="auto"/>
          <w:sz w:val="24"/>
          <w:highlight w:val="none"/>
        </w:rPr>
        <w:t>纸质投标文件的密封和标记</w:t>
      </w:r>
    </w:p>
    <w:p>
      <w:pPr>
        <w:pStyle w:val="25"/>
        <w:numPr>
          <w:ilvl w:val="0"/>
          <w:numId w:val="19"/>
        </w:numPr>
        <w:tabs>
          <w:tab w:val="left" w:pos="1315"/>
        </w:tabs>
        <w:spacing w:before="173" w:after="0" w:line="374" w:lineRule="auto"/>
        <w:ind w:left="232" w:right="234" w:firstLine="480"/>
        <w:jc w:val="left"/>
        <w:rPr>
          <w:color w:val="auto"/>
          <w:sz w:val="24"/>
          <w:highlight w:val="none"/>
        </w:rPr>
      </w:pPr>
      <w:r>
        <w:rPr>
          <w:color w:val="auto"/>
          <w:spacing w:val="-10"/>
          <w:sz w:val="24"/>
          <w:highlight w:val="none"/>
        </w:rPr>
        <w:t>投标文件的“正本”与“副本”应分开包装，封套上应清楚地标记“正本”或“副</w:t>
      </w:r>
      <w:r>
        <w:rPr>
          <w:color w:val="auto"/>
          <w:sz w:val="24"/>
          <w:highlight w:val="none"/>
        </w:rPr>
        <w:t>本”字样。封口处缝粘贴密封封条并加盖供应商公章。</w:t>
      </w:r>
    </w:p>
    <w:p>
      <w:pPr>
        <w:pStyle w:val="25"/>
        <w:numPr>
          <w:ilvl w:val="0"/>
          <w:numId w:val="19"/>
        </w:numPr>
        <w:tabs>
          <w:tab w:val="left" w:pos="1315"/>
        </w:tabs>
        <w:spacing w:before="0" w:after="0" w:line="240" w:lineRule="auto"/>
        <w:ind w:left="1314" w:right="0" w:hanging="602"/>
        <w:jc w:val="left"/>
        <w:rPr>
          <w:color w:val="auto"/>
          <w:sz w:val="24"/>
          <w:highlight w:val="none"/>
        </w:rPr>
      </w:pPr>
      <w:r>
        <w:rPr>
          <w:color w:val="auto"/>
          <w:sz w:val="24"/>
          <w:highlight w:val="none"/>
        </w:rPr>
        <w:t>标记要求：</w:t>
      </w:r>
    </w:p>
    <w:p>
      <w:pPr>
        <w:pStyle w:val="7"/>
        <w:spacing w:before="173"/>
        <w:ind w:left="713"/>
        <w:rPr>
          <w:color w:val="auto"/>
          <w:highlight w:val="none"/>
        </w:rPr>
      </w:pPr>
      <w:r>
        <w:rPr>
          <w:color w:val="auto"/>
          <w:highlight w:val="none"/>
        </w:rPr>
        <w:t>① 清楚标明“递交至</w:t>
      </w:r>
      <w:r>
        <w:rPr>
          <w:rFonts w:hint="eastAsia"/>
          <w:color w:val="auto"/>
          <w:highlight w:val="none"/>
          <w:lang w:eastAsia="zh-CN"/>
        </w:rPr>
        <w:t>鸿利项目管理有限公司</w:t>
      </w:r>
      <w:r>
        <w:rPr>
          <w:color w:val="auto"/>
          <w:highlight w:val="none"/>
        </w:rPr>
        <w:t>”；</w:t>
      </w:r>
    </w:p>
    <w:p>
      <w:pPr>
        <w:pStyle w:val="7"/>
        <w:spacing w:before="173"/>
        <w:ind w:left="713"/>
        <w:rPr>
          <w:color w:val="auto"/>
          <w:highlight w:val="none"/>
        </w:rPr>
      </w:pPr>
      <w:r>
        <w:rPr>
          <w:color w:val="auto"/>
          <w:spacing w:val="-4"/>
          <w:highlight w:val="none"/>
        </w:rPr>
        <w:t xml:space="preserve">② 注明项目名称、项目编号和“在 </w:t>
      </w:r>
      <w:r>
        <w:rPr>
          <w:color w:val="auto"/>
          <w:highlight w:val="none"/>
        </w:rPr>
        <w:t>2021</w:t>
      </w:r>
      <w:r>
        <w:rPr>
          <w:color w:val="auto"/>
          <w:spacing w:val="-40"/>
          <w:highlight w:val="none"/>
        </w:rPr>
        <w:t xml:space="preserve"> 年</w:t>
      </w:r>
      <w:r>
        <w:rPr>
          <w:color w:val="auto"/>
          <w:spacing w:val="-4"/>
          <w:highlight w:val="none"/>
        </w:rPr>
        <w:t xml:space="preserve"> 5 月</w:t>
      </w:r>
      <w:r>
        <w:rPr>
          <w:rFonts w:hint="eastAsia"/>
          <w:color w:val="auto"/>
          <w:spacing w:val="-4"/>
          <w:highlight w:val="none"/>
          <w:lang w:val="en-US" w:eastAsia="zh-CN"/>
        </w:rPr>
        <w:t>2</w:t>
      </w:r>
      <w:r>
        <w:rPr>
          <w:color w:val="auto"/>
          <w:spacing w:val="-4"/>
          <w:highlight w:val="none"/>
        </w:rPr>
        <w:t>8 日 9:00 时之</w:t>
      </w:r>
      <w:r>
        <w:rPr>
          <w:color w:val="auto"/>
          <w:spacing w:val="-8"/>
          <w:highlight w:val="none"/>
        </w:rPr>
        <w:t>前不得启封”的字样；</w:t>
      </w:r>
    </w:p>
    <w:p>
      <w:pPr>
        <w:pStyle w:val="7"/>
        <w:spacing w:before="172"/>
        <w:ind w:left="713"/>
        <w:rPr>
          <w:color w:val="auto"/>
          <w:highlight w:val="none"/>
        </w:rPr>
      </w:pPr>
      <w:r>
        <w:rPr>
          <w:color w:val="auto"/>
          <w:highlight w:val="none"/>
        </w:rPr>
        <w:t>③ 标明供应商名称、地址及加盖供应商公章；</w:t>
      </w:r>
    </w:p>
    <w:p>
      <w:pPr>
        <w:pStyle w:val="25"/>
        <w:numPr>
          <w:ilvl w:val="0"/>
          <w:numId w:val="19"/>
        </w:numPr>
        <w:tabs>
          <w:tab w:val="left" w:pos="1315"/>
        </w:tabs>
        <w:spacing w:before="173" w:after="0" w:line="240" w:lineRule="auto"/>
        <w:ind w:left="1314" w:right="0" w:hanging="602"/>
        <w:jc w:val="left"/>
        <w:rPr>
          <w:color w:val="auto"/>
          <w:sz w:val="24"/>
          <w:highlight w:val="none"/>
        </w:rPr>
      </w:pPr>
      <w:r>
        <w:rPr>
          <w:color w:val="auto"/>
          <w:sz w:val="24"/>
          <w:highlight w:val="none"/>
        </w:rPr>
        <w:t>资格证明文件原件或复印件单独装袋（上面标明项目名称及投标供应商名称）；</w:t>
      </w:r>
    </w:p>
    <w:p>
      <w:pPr>
        <w:pStyle w:val="4"/>
        <w:spacing w:before="184"/>
        <w:rPr>
          <w:color w:val="auto"/>
          <w:highlight w:val="none"/>
        </w:rPr>
      </w:pPr>
      <w:bookmarkStart w:id="3" w:name="四、磋商响应文件的递交"/>
      <w:bookmarkEnd w:id="3"/>
      <w:r>
        <w:rPr>
          <w:color w:val="auto"/>
          <w:highlight w:val="none"/>
        </w:rPr>
        <w:t>四、磋商响应文件的递交</w:t>
      </w:r>
    </w:p>
    <w:p>
      <w:pPr>
        <w:pStyle w:val="7"/>
        <w:spacing w:before="12"/>
        <w:ind w:left="0"/>
        <w:rPr>
          <w:b/>
          <w:color w:val="auto"/>
          <w:sz w:val="23"/>
          <w:highlight w:val="none"/>
        </w:rPr>
      </w:pPr>
    </w:p>
    <w:p>
      <w:pPr>
        <w:pStyle w:val="6"/>
        <w:numPr>
          <w:ilvl w:val="0"/>
          <w:numId w:val="15"/>
        </w:numPr>
        <w:tabs>
          <w:tab w:val="left" w:pos="1201"/>
        </w:tabs>
        <w:spacing w:before="0" w:after="0" w:line="240" w:lineRule="auto"/>
        <w:ind w:left="1200" w:right="0" w:hanging="486"/>
        <w:jc w:val="left"/>
        <w:rPr>
          <w:color w:val="auto"/>
          <w:highlight w:val="none"/>
        </w:rPr>
      </w:pPr>
      <w:r>
        <w:rPr>
          <w:color w:val="auto"/>
          <w:highlight w:val="none"/>
        </w:rPr>
        <w:t>投标文件的提交</w:t>
      </w:r>
    </w:p>
    <w:p>
      <w:pPr>
        <w:pStyle w:val="25"/>
        <w:numPr>
          <w:ilvl w:val="1"/>
          <w:numId w:val="15"/>
        </w:numPr>
        <w:tabs>
          <w:tab w:val="left" w:pos="1326"/>
        </w:tabs>
        <w:spacing w:before="173" w:after="0" w:line="240" w:lineRule="auto"/>
        <w:ind w:left="1325" w:right="0" w:hanging="611"/>
        <w:jc w:val="both"/>
        <w:rPr>
          <w:b/>
          <w:color w:val="auto"/>
          <w:sz w:val="24"/>
          <w:highlight w:val="none"/>
        </w:rPr>
      </w:pPr>
      <w:r>
        <w:rPr>
          <w:b/>
          <w:color w:val="auto"/>
          <w:sz w:val="24"/>
          <w:highlight w:val="none"/>
        </w:rPr>
        <w:t>电子投标文件可于提交投标文件截止时间前任意时段登录全国公共资源交易平台</w:t>
      </w:r>
    </w:p>
    <w:p>
      <w:pPr>
        <w:spacing w:before="172" w:line="374" w:lineRule="auto"/>
        <w:ind w:left="232" w:right="231" w:firstLine="0"/>
        <w:jc w:val="both"/>
        <w:rPr>
          <w:b/>
          <w:color w:val="auto"/>
          <w:sz w:val="24"/>
          <w:highlight w:val="none"/>
        </w:rPr>
      </w:pPr>
      <w:r>
        <w:rPr>
          <w:b/>
          <w:color w:val="auto"/>
          <w:sz w:val="24"/>
          <w:highlight w:val="none"/>
        </w:rPr>
        <w:t>（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pStyle w:val="25"/>
        <w:numPr>
          <w:ilvl w:val="1"/>
          <w:numId w:val="15"/>
        </w:numPr>
        <w:tabs>
          <w:tab w:val="left" w:pos="1326"/>
        </w:tabs>
        <w:spacing w:before="2" w:after="0" w:line="374" w:lineRule="auto"/>
        <w:ind w:left="232" w:right="240" w:firstLine="482"/>
        <w:jc w:val="both"/>
        <w:rPr>
          <w:b/>
          <w:color w:val="auto"/>
          <w:sz w:val="24"/>
          <w:highlight w:val="none"/>
        </w:rPr>
      </w:pPr>
      <w:r>
        <w:rPr>
          <w:b/>
          <w:color w:val="auto"/>
          <w:w w:val="95"/>
          <w:sz w:val="24"/>
          <w:highlight w:val="none"/>
        </w:rPr>
        <w:t>纸质投标文件应当在开标当日，并于提交投标文件截止时间前送达开标地点，逾</w:t>
      </w:r>
      <w:r>
        <w:rPr>
          <w:b/>
          <w:color w:val="auto"/>
          <w:sz w:val="24"/>
          <w:highlight w:val="none"/>
        </w:rPr>
        <w:t>期将被拒绝接收。不接受电子邮件、传真及邮寄等方式递交的投标文件。</w:t>
      </w:r>
    </w:p>
    <w:p>
      <w:pPr>
        <w:pStyle w:val="25"/>
        <w:numPr>
          <w:ilvl w:val="0"/>
          <w:numId w:val="15"/>
        </w:numPr>
        <w:tabs>
          <w:tab w:val="left" w:pos="1201"/>
        </w:tabs>
        <w:spacing w:before="1" w:after="0" w:line="240" w:lineRule="auto"/>
        <w:ind w:left="1200" w:right="0" w:hanging="486"/>
        <w:jc w:val="left"/>
        <w:rPr>
          <w:b/>
          <w:color w:val="auto"/>
          <w:sz w:val="24"/>
          <w:highlight w:val="none"/>
        </w:rPr>
      </w:pPr>
      <w:r>
        <w:rPr>
          <w:b/>
          <w:color w:val="auto"/>
          <w:sz w:val="24"/>
          <w:highlight w:val="none"/>
        </w:rPr>
        <w:t>磋商截止日期</w:t>
      </w:r>
    </w:p>
    <w:p>
      <w:pPr>
        <w:pStyle w:val="25"/>
        <w:numPr>
          <w:ilvl w:val="1"/>
          <w:numId w:val="15"/>
        </w:numPr>
        <w:tabs>
          <w:tab w:val="left" w:pos="1318"/>
        </w:tabs>
        <w:spacing w:before="172" w:after="0" w:line="374" w:lineRule="auto"/>
        <w:ind w:left="232" w:right="231" w:firstLine="480"/>
        <w:jc w:val="both"/>
        <w:rPr>
          <w:color w:val="auto"/>
          <w:sz w:val="24"/>
          <w:highlight w:val="none"/>
        </w:rPr>
      </w:pPr>
      <w:r>
        <w:rPr>
          <w:color w:val="auto"/>
          <w:sz w:val="24"/>
          <w:highlight w:val="none"/>
        </w:rPr>
        <w:t>投标单位应在不迟于磋商文件中规定的磋商截止时间将响应文件递交至采购代理机构处。</w:t>
      </w:r>
    </w:p>
    <w:p>
      <w:pPr>
        <w:pStyle w:val="25"/>
        <w:numPr>
          <w:ilvl w:val="1"/>
          <w:numId w:val="15"/>
        </w:numPr>
        <w:tabs>
          <w:tab w:val="left" w:pos="1314"/>
        </w:tabs>
        <w:spacing w:before="1" w:after="0" w:line="374" w:lineRule="auto"/>
        <w:ind w:left="232" w:right="232" w:firstLine="480"/>
        <w:jc w:val="both"/>
        <w:rPr>
          <w:color w:val="auto"/>
          <w:sz w:val="24"/>
          <w:highlight w:val="none"/>
        </w:rPr>
      </w:pPr>
      <w:r>
        <w:rPr>
          <w:color w:val="auto"/>
          <w:spacing w:val="-5"/>
          <w:sz w:val="24"/>
          <w:highlight w:val="none"/>
        </w:rPr>
        <w:t xml:space="preserve">采购代理机构可以按本须知第 </w:t>
      </w:r>
      <w:r>
        <w:rPr>
          <w:color w:val="auto"/>
          <w:sz w:val="24"/>
          <w:highlight w:val="none"/>
        </w:rPr>
        <w:t>5.3</w:t>
      </w:r>
      <w:r>
        <w:rPr>
          <w:color w:val="auto"/>
          <w:spacing w:val="-14"/>
          <w:sz w:val="24"/>
          <w:highlight w:val="none"/>
        </w:rPr>
        <w:t xml:space="preserve"> 条规定，通知因修改磋商文件而适当延长磋商截</w:t>
      </w:r>
      <w:r>
        <w:rPr>
          <w:color w:val="auto"/>
          <w:sz w:val="24"/>
          <w:highlight w:val="none"/>
        </w:rPr>
        <w:t>止期。在此情况下，招标采购单位和投标单位受磋商截止期制约的所有权利和义务均应延长至新的截止期。</w:t>
      </w:r>
    </w:p>
    <w:p>
      <w:pPr>
        <w:pStyle w:val="6"/>
        <w:numPr>
          <w:ilvl w:val="0"/>
          <w:numId w:val="15"/>
        </w:numPr>
        <w:tabs>
          <w:tab w:val="left" w:pos="1201"/>
        </w:tabs>
        <w:spacing w:before="1" w:after="0" w:line="240" w:lineRule="auto"/>
        <w:ind w:left="1200" w:right="0" w:hanging="486"/>
        <w:jc w:val="left"/>
        <w:rPr>
          <w:color w:val="auto"/>
          <w:highlight w:val="none"/>
        </w:rPr>
      </w:pPr>
      <w:r>
        <w:rPr>
          <w:color w:val="auto"/>
          <w:highlight w:val="none"/>
        </w:rPr>
        <w:t>迟交的磋商响应文件</w:t>
      </w:r>
    </w:p>
    <w:p>
      <w:pPr>
        <w:pStyle w:val="25"/>
        <w:numPr>
          <w:ilvl w:val="1"/>
          <w:numId w:val="15"/>
        </w:numPr>
        <w:tabs>
          <w:tab w:val="left" w:pos="1314"/>
        </w:tabs>
        <w:spacing w:before="173" w:after="0" w:line="240" w:lineRule="auto"/>
        <w:ind w:left="1313" w:right="0" w:hanging="601"/>
        <w:jc w:val="both"/>
        <w:rPr>
          <w:color w:val="auto"/>
          <w:sz w:val="24"/>
          <w:highlight w:val="none"/>
        </w:rPr>
      </w:pPr>
      <w:r>
        <w:rPr>
          <w:color w:val="auto"/>
          <w:spacing w:val="-10"/>
          <w:sz w:val="24"/>
          <w:highlight w:val="none"/>
        </w:rPr>
        <w:t>采购人、采购代理机构及磋商小组将拒绝接收磋商截止期后送达的任何磋商响应文</w:t>
      </w:r>
    </w:p>
    <w:p>
      <w:pPr>
        <w:spacing w:after="0" w:line="240" w:lineRule="auto"/>
        <w:jc w:val="both"/>
        <w:rPr>
          <w:color w:val="auto"/>
          <w:sz w:val="24"/>
          <w:highlight w:val="none"/>
        </w:rPr>
        <w:sectPr>
          <w:pgSz w:w="11910" w:h="16840"/>
          <w:pgMar w:top="1220" w:right="900" w:bottom="1200" w:left="900" w:header="0" w:footer="928" w:gutter="0"/>
        </w:sectPr>
      </w:pPr>
    </w:p>
    <w:p>
      <w:pPr>
        <w:pStyle w:val="7"/>
        <w:spacing w:before="38"/>
        <w:rPr>
          <w:color w:val="auto"/>
          <w:highlight w:val="none"/>
        </w:rPr>
      </w:pPr>
      <w:r>
        <w:rPr>
          <w:color w:val="auto"/>
          <w:highlight w:val="none"/>
        </w:rPr>
        <w:t>件。</w:t>
      </w:r>
    </w:p>
    <w:p>
      <w:pPr>
        <w:pStyle w:val="6"/>
        <w:numPr>
          <w:ilvl w:val="0"/>
          <w:numId w:val="15"/>
        </w:numPr>
        <w:tabs>
          <w:tab w:val="left" w:pos="1201"/>
        </w:tabs>
        <w:spacing w:before="173" w:after="0" w:line="240" w:lineRule="auto"/>
        <w:ind w:left="1200" w:right="0" w:hanging="486"/>
        <w:jc w:val="left"/>
        <w:rPr>
          <w:color w:val="auto"/>
          <w:highlight w:val="none"/>
        </w:rPr>
      </w:pPr>
      <w:r>
        <w:rPr>
          <w:color w:val="auto"/>
          <w:highlight w:val="none"/>
        </w:rPr>
        <w:t>磋商响应文件的修改和撤回</w:t>
      </w:r>
    </w:p>
    <w:p>
      <w:pPr>
        <w:pStyle w:val="25"/>
        <w:numPr>
          <w:ilvl w:val="1"/>
          <w:numId w:val="15"/>
        </w:numPr>
        <w:tabs>
          <w:tab w:val="left" w:pos="1314"/>
        </w:tabs>
        <w:spacing w:before="173" w:after="0" w:line="374" w:lineRule="auto"/>
        <w:ind w:left="232" w:right="111" w:firstLine="480"/>
        <w:jc w:val="left"/>
        <w:rPr>
          <w:color w:val="auto"/>
          <w:sz w:val="24"/>
          <w:highlight w:val="none"/>
        </w:rPr>
      </w:pPr>
      <w:r>
        <w:rPr>
          <w:color w:val="auto"/>
          <w:spacing w:val="-5"/>
          <w:sz w:val="24"/>
          <w:highlight w:val="none"/>
        </w:rPr>
        <w:t>投标单位在递交磋商响应文件后，磋商截止时间前，可以修改或撤回其磋商响应文</w:t>
      </w:r>
      <w:r>
        <w:rPr>
          <w:color w:val="auto"/>
          <w:spacing w:val="-11"/>
          <w:sz w:val="24"/>
          <w:highlight w:val="none"/>
        </w:rPr>
        <w:t>件。但投标单位必须在规定的磋商截止期之前将修改或撤回的书面通知递交到采购代理机构。</w:t>
      </w:r>
    </w:p>
    <w:p>
      <w:pPr>
        <w:pStyle w:val="25"/>
        <w:numPr>
          <w:ilvl w:val="1"/>
          <w:numId w:val="15"/>
        </w:numPr>
        <w:tabs>
          <w:tab w:val="left" w:pos="1314"/>
        </w:tabs>
        <w:spacing w:before="0" w:after="0" w:line="374" w:lineRule="auto"/>
        <w:ind w:left="232" w:right="231" w:firstLine="480"/>
        <w:jc w:val="left"/>
        <w:rPr>
          <w:color w:val="auto"/>
          <w:sz w:val="24"/>
          <w:highlight w:val="none"/>
        </w:rPr>
      </w:pPr>
      <w:r>
        <w:rPr>
          <w:color w:val="auto"/>
          <w:spacing w:val="-2"/>
          <w:sz w:val="24"/>
          <w:highlight w:val="none"/>
        </w:rPr>
        <w:t xml:space="preserve">投标单位的修改或撤回通知书应按本须知第 </w:t>
      </w:r>
      <w:r>
        <w:rPr>
          <w:color w:val="auto"/>
          <w:sz w:val="24"/>
          <w:highlight w:val="none"/>
        </w:rPr>
        <w:t>13</w:t>
      </w:r>
      <w:r>
        <w:rPr>
          <w:color w:val="auto"/>
          <w:spacing w:val="-8"/>
          <w:sz w:val="24"/>
          <w:highlight w:val="none"/>
        </w:rPr>
        <w:t xml:space="preserve"> 条规定密封、标记和递交，并在内</w:t>
      </w:r>
      <w:r>
        <w:rPr>
          <w:color w:val="auto"/>
          <w:sz w:val="24"/>
          <w:highlight w:val="none"/>
        </w:rPr>
        <w:t>层封套上加注“修改”或“撤回”字样。</w:t>
      </w:r>
    </w:p>
    <w:p>
      <w:pPr>
        <w:pStyle w:val="25"/>
        <w:numPr>
          <w:ilvl w:val="1"/>
          <w:numId w:val="15"/>
        </w:numPr>
        <w:tabs>
          <w:tab w:val="left" w:pos="1314"/>
        </w:tabs>
        <w:spacing w:before="1" w:after="0" w:line="240" w:lineRule="auto"/>
        <w:ind w:left="1313" w:right="0" w:hanging="601"/>
        <w:jc w:val="left"/>
        <w:rPr>
          <w:color w:val="auto"/>
          <w:sz w:val="24"/>
          <w:highlight w:val="none"/>
        </w:rPr>
      </w:pPr>
      <w:r>
        <w:rPr>
          <w:color w:val="auto"/>
          <w:sz w:val="24"/>
          <w:highlight w:val="none"/>
        </w:rPr>
        <w:t>在磋商截止日期之后，投标单位不得对其磋商响应文件做任何修改。</w:t>
      </w:r>
    </w:p>
    <w:p>
      <w:pPr>
        <w:pStyle w:val="25"/>
        <w:numPr>
          <w:ilvl w:val="1"/>
          <w:numId w:val="15"/>
        </w:numPr>
        <w:tabs>
          <w:tab w:val="left" w:pos="1314"/>
        </w:tabs>
        <w:spacing w:before="172" w:after="0" w:line="374" w:lineRule="auto"/>
        <w:ind w:left="232" w:right="232" w:firstLine="480"/>
        <w:jc w:val="left"/>
        <w:rPr>
          <w:color w:val="auto"/>
          <w:sz w:val="24"/>
          <w:highlight w:val="none"/>
        </w:rPr>
      </w:pPr>
      <w:r>
        <w:rPr>
          <w:color w:val="auto"/>
          <w:spacing w:val="-4"/>
          <w:sz w:val="24"/>
          <w:highlight w:val="none"/>
        </w:rPr>
        <w:t>从磋商截止期始至磋商文件确定的磋商响应文件有效期期满这段时间内，投标单位</w:t>
      </w:r>
      <w:r>
        <w:rPr>
          <w:color w:val="auto"/>
          <w:sz w:val="24"/>
          <w:highlight w:val="none"/>
        </w:rPr>
        <w:t>不得撤回其磋商响应文件，否则其磋商保证金将不予退还。</w:t>
      </w:r>
    </w:p>
    <w:p>
      <w:pPr>
        <w:pStyle w:val="4"/>
        <w:spacing w:before="66"/>
        <w:rPr>
          <w:color w:val="auto"/>
          <w:highlight w:val="none"/>
        </w:rPr>
      </w:pPr>
      <w:bookmarkStart w:id="4" w:name="五、磋商与评审"/>
      <w:bookmarkEnd w:id="4"/>
      <w:r>
        <w:rPr>
          <w:color w:val="auto"/>
          <w:highlight w:val="none"/>
        </w:rPr>
        <w:t>五、磋商与评审</w:t>
      </w:r>
    </w:p>
    <w:p>
      <w:pPr>
        <w:pStyle w:val="7"/>
        <w:spacing w:before="10"/>
        <w:ind w:left="0"/>
        <w:rPr>
          <w:b/>
          <w:color w:val="auto"/>
          <w:sz w:val="23"/>
          <w:highlight w:val="none"/>
        </w:rPr>
      </w:pPr>
    </w:p>
    <w:p>
      <w:pPr>
        <w:pStyle w:val="6"/>
        <w:numPr>
          <w:ilvl w:val="0"/>
          <w:numId w:val="15"/>
        </w:numPr>
        <w:tabs>
          <w:tab w:val="left" w:pos="1201"/>
        </w:tabs>
        <w:spacing w:before="0" w:after="0" w:line="240" w:lineRule="auto"/>
        <w:ind w:left="1200" w:right="0" w:hanging="486"/>
        <w:jc w:val="left"/>
        <w:rPr>
          <w:color w:val="auto"/>
          <w:highlight w:val="none"/>
        </w:rPr>
      </w:pPr>
      <w:r>
        <w:rPr>
          <w:color w:val="auto"/>
          <w:highlight w:val="none"/>
        </w:rPr>
        <w:t>磋商响应文件开启和评审</w:t>
      </w:r>
    </w:p>
    <w:p>
      <w:pPr>
        <w:pStyle w:val="25"/>
        <w:numPr>
          <w:ilvl w:val="1"/>
          <w:numId w:val="15"/>
        </w:numPr>
        <w:tabs>
          <w:tab w:val="left" w:pos="1314"/>
        </w:tabs>
        <w:spacing w:before="172" w:after="0" w:line="240" w:lineRule="auto"/>
        <w:ind w:left="1313" w:right="0" w:hanging="601"/>
        <w:jc w:val="both"/>
        <w:rPr>
          <w:color w:val="auto"/>
          <w:sz w:val="24"/>
          <w:highlight w:val="none"/>
        </w:rPr>
      </w:pPr>
      <w:r>
        <w:rPr>
          <w:color w:val="auto"/>
          <w:spacing w:val="-14"/>
          <w:sz w:val="24"/>
          <w:highlight w:val="none"/>
        </w:rPr>
        <w:t>采购代理机构组织磋商、文件开启、评审工作，磋商整个过程接受监督部门的监督。</w:t>
      </w:r>
    </w:p>
    <w:p>
      <w:pPr>
        <w:pStyle w:val="25"/>
        <w:numPr>
          <w:ilvl w:val="1"/>
          <w:numId w:val="15"/>
        </w:numPr>
        <w:tabs>
          <w:tab w:val="left" w:pos="1314"/>
        </w:tabs>
        <w:spacing w:before="173" w:after="0" w:line="374" w:lineRule="auto"/>
        <w:ind w:left="232" w:right="232" w:firstLine="480"/>
        <w:jc w:val="both"/>
        <w:rPr>
          <w:color w:val="auto"/>
          <w:sz w:val="24"/>
          <w:highlight w:val="none"/>
        </w:rPr>
      </w:pPr>
      <w:r>
        <w:rPr>
          <w:color w:val="auto"/>
          <w:spacing w:val="-6"/>
          <w:sz w:val="24"/>
          <w:highlight w:val="none"/>
        </w:rPr>
        <w:t>采购代理机构在规定的时间和地点组织磋商，投标单位须委派代表参加，参加磋商</w:t>
      </w:r>
      <w:r>
        <w:rPr>
          <w:color w:val="auto"/>
          <w:sz w:val="24"/>
          <w:highlight w:val="none"/>
        </w:rPr>
        <w:t>的授权代表携带相关资质证件并签名报到以证明其出席。</w:t>
      </w:r>
    </w:p>
    <w:p>
      <w:pPr>
        <w:pStyle w:val="25"/>
        <w:numPr>
          <w:ilvl w:val="1"/>
          <w:numId w:val="15"/>
        </w:numPr>
        <w:tabs>
          <w:tab w:val="left" w:pos="1314"/>
        </w:tabs>
        <w:spacing w:before="1" w:after="0" w:line="374" w:lineRule="auto"/>
        <w:ind w:left="232" w:right="232" w:firstLine="480"/>
        <w:jc w:val="both"/>
        <w:rPr>
          <w:color w:val="auto"/>
          <w:sz w:val="24"/>
          <w:highlight w:val="none"/>
        </w:rPr>
      </w:pPr>
      <w:r>
        <w:rPr>
          <w:color w:val="auto"/>
          <w:spacing w:val="-10"/>
          <w:sz w:val="24"/>
          <w:highlight w:val="none"/>
        </w:rPr>
        <w:t>开标时，由供应商自行查验其递交的纸质投标文件的密封情况：投标文件是否被开</w:t>
      </w:r>
      <w:r>
        <w:rPr>
          <w:color w:val="auto"/>
          <w:sz w:val="24"/>
          <w:highlight w:val="none"/>
        </w:rPr>
        <w:t>启、原始密封是否完好，查验完毕签字确认。各供应商对密封查验结果自行负责，不相互查验及提出质疑。</w:t>
      </w:r>
    </w:p>
    <w:p>
      <w:pPr>
        <w:pStyle w:val="25"/>
        <w:numPr>
          <w:ilvl w:val="1"/>
          <w:numId w:val="15"/>
        </w:numPr>
        <w:tabs>
          <w:tab w:val="left" w:pos="1314"/>
        </w:tabs>
        <w:spacing w:before="1" w:after="0" w:line="374" w:lineRule="auto"/>
        <w:ind w:left="232" w:right="231" w:firstLine="480"/>
        <w:jc w:val="both"/>
        <w:rPr>
          <w:color w:val="auto"/>
          <w:sz w:val="24"/>
          <w:highlight w:val="none"/>
        </w:rPr>
      </w:pPr>
      <w:r>
        <w:rPr>
          <w:color w:val="auto"/>
          <w:sz w:val="24"/>
          <w:highlight w:val="none"/>
        </w:rPr>
        <w:t>开标时，供应商须使用电子投标文件加密时所用的数字认证证书</w:t>
      </w:r>
      <w:r>
        <w:rPr>
          <w:b/>
          <w:color w:val="auto"/>
          <w:sz w:val="24"/>
          <w:highlight w:val="none"/>
        </w:rPr>
        <w:t>（CA</w:t>
      </w:r>
      <w:r>
        <w:rPr>
          <w:b/>
          <w:color w:val="auto"/>
          <w:spacing w:val="11"/>
          <w:sz w:val="24"/>
          <w:highlight w:val="none"/>
        </w:rPr>
        <w:t xml:space="preserve"> 锁</w:t>
      </w:r>
      <w:r>
        <w:rPr>
          <w:b/>
          <w:color w:val="auto"/>
          <w:sz w:val="24"/>
          <w:highlight w:val="none"/>
        </w:rPr>
        <w:t>）</w:t>
      </w:r>
      <w:r>
        <w:rPr>
          <w:color w:val="auto"/>
          <w:spacing w:val="-4"/>
          <w:sz w:val="24"/>
          <w:highlight w:val="none"/>
        </w:rPr>
        <w:t>在开标</w:t>
      </w:r>
      <w:r>
        <w:rPr>
          <w:color w:val="auto"/>
          <w:sz w:val="24"/>
          <w:highlight w:val="none"/>
        </w:rPr>
        <w:t>室的解密机上自行解密电子投标文件。</w:t>
      </w:r>
    </w:p>
    <w:p>
      <w:pPr>
        <w:pStyle w:val="25"/>
        <w:numPr>
          <w:ilvl w:val="1"/>
          <w:numId w:val="15"/>
        </w:numPr>
        <w:tabs>
          <w:tab w:val="left" w:pos="1314"/>
        </w:tabs>
        <w:spacing w:before="0" w:after="0" w:line="374" w:lineRule="auto"/>
        <w:ind w:left="232" w:right="231" w:firstLine="480"/>
        <w:jc w:val="both"/>
        <w:rPr>
          <w:color w:val="auto"/>
          <w:sz w:val="24"/>
          <w:highlight w:val="none"/>
        </w:rPr>
      </w:pPr>
      <w:r>
        <w:rPr>
          <w:color w:val="auto"/>
          <w:sz w:val="24"/>
          <w:highlight w:val="none"/>
        </w:rPr>
        <w:t xml:space="preserve">电子开标失败时，由采购代理机构的工作人员当众拆封纸质投标文件，按照第 </w:t>
      </w:r>
      <w:r>
        <w:rPr>
          <w:color w:val="auto"/>
          <w:spacing w:val="-7"/>
          <w:sz w:val="24"/>
          <w:highlight w:val="none"/>
        </w:rPr>
        <w:t xml:space="preserve">17 </w:t>
      </w:r>
      <w:r>
        <w:rPr>
          <w:color w:val="auto"/>
          <w:sz w:val="24"/>
          <w:highlight w:val="none"/>
        </w:rPr>
        <w:t>条规定，提交了可接受的“撤回”通知书的投标将不予拆封。拆封后，各供应商的授权代表签字确认。</w:t>
      </w:r>
    </w:p>
    <w:p>
      <w:pPr>
        <w:pStyle w:val="25"/>
        <w:numPr>
          <w:ilvl w:val="1"/>
          <w:numId w:val="15"/>
        </w:numPr>
        <w:tabs>
          <w:tab w:val="left" w:pos="1314"/>
        </w:tabs>
        <w:spacing w:before="1" w:after="0" w:line="374" w:lineRule="auto"/>
        <w:ind w:left="232" w:right="235" w:firstLine="480"/>
        <w:jc w:val="both"/>
        <w:rPr>
          <w:color w:val="auto"/>
          <w:sz w:val="24"/>
          <w:highlight w:val="none"/>
        </w:rPr>
      </w:pPr>
      <w:r>
        <w:rPr>
          <w:color w:val="auto"/>
          <w:sz w:val="24"/>
          <w:highlight w:val="none"/>
        </w:rPr>
        <w:t>供应商在开标现场用数字认证证书</w:t>
      </w:r>
      <w:r>
        <w:rPr>
          <w:b/>
          <w:color w:val="auto"/>
          <w:sz w:val="24"/>
          <w:highlight w:val="none"/>
        </w:rPr>
        <w:t>（CA</w:t>
      </w:r>
      <w:r>
        <w:rPr>
          <w:b/>
          <w:color w:val="auto"/>
          <w:spacing w:val="6"/>
          <w:sz w:val="24"/>
          <w:highlight w:val="none"/>
        </w:rPr>
        <w:t xml:space="preserve"> 主锁</w:t>
      </w:r>
      <w:r>
        <w:rPr>
          <w:b/>
          <w:color w:val="auto"/>
          <w:spacing w:val="3"/>
          <w:sz w:val="24"/>
          <w:highlight w:val="none"/>
        </w:rPr>
        <w:t>）</w:t>
      </w:r>
      <w:r>
        <w:rPr>
          <w:color w:val="auto"/>
          <w:spacing w:val="-1"/>
          <w:sz w:val="24"/>
          <w:highlight w:val="none"/>
        </w:rPr>
        <w:t>登陆系统进行二次报价，系统按照</w:t>
      </w:r>
      <w:r>
        <w:rPr>
          <w:color w:val="auto"/>
          <w:sz w:val="24"/>
          <w:highlight w:val="none"/>
        </w:rPr>
        <w:t>评标规则自动计分。</w:t>
      </w:r>
    </w:p>
    <w:p>
      <w:pPr>
        <w:pStyle w:val="25"/>
        <w:numPr>
          <w:ilvl w:val="1"/>
          <w:numId w:val="15"/>
        </w:numPr>
        <w:tabs>
          <w:tab w:val="left" w:pos="1314"/>
        </w:tabs>
        <w:spacing w:before="2" w:after="0" w:line="240" w:lineRule="auto"/>
        <w:ind w:left="1313" w:right="0" w:hanging="601"/>
        <w:jc w:val="both"/>
        <w:rPr>
          <w:color w:val="auto"/>
          <w:sz w:val="24"/>
          <w:highlight w:val="none"/>
        </w:rPr>
      </w:pPr>
      <w:r>
        <w:rPr>
          <w:color w:val="auto"/>
          <w:sz w:val="24"/>
          <w:highlight w:val="none"/>
        </w:rPr>
        <w:t>采购代理机构将在开标会议现场做开标记录。</w:t>
      </w:r>
    </w:p>
    <w:p>
      <w:pPr>
        <w:pStyle w:val="25"/>
        <w:numPr>
          <w:ilvl w:val="1"/>
          <w:numId w:val="15"/>
        </w:numPr>
        <w:tabs>
          <w:tab w:val="left" w:pos="1314"/>
        </w:tabs>
        <w:spacing w:before="172" w:after="0" w:line="240" w:lineRule="auto"/>
        <w:ind w:left="1313" w:right="0" w:hanging="601"/>
        <w:jc w:val="both"/>
        <w:rPr>
          <w:color w:val="auto"/>
          <w:sz w:val="24"/>
          <w:highlight w:val="none"/>
        </w:rPr>
      </w:pPr>
      <w:r>
        <w:rPr>
          <w:color w:val="auto"/>
          <w:sz w:val="24"/>
          <w:highlight w:val="none"/>
        </w:rPr>
        <w:t>在开标环节出现下列情况之一的，其电子及纸质投标文件视为无效文件：</w:t>
      </w:r>
    </w:p>
    <w:p>
      <w:pPr>
        <w:pStyle w:val="25"/>
        <w:numPr>
          <w:ilvl w:val="0"/>
          <w:numId w:val="20"/>
        </w:numPr>
        <w:tabs>
          <w:tab w:val="left" w:pos="1315"/>
        </w:tabs>
        <w:spacing w:before="173" w:after="0" w:line="240" w:lineRule="auto"/>
        <w:ind w:left="1314" w:right="0" w:hanging="602"/>
        <w:jc w:val="left"/>
        <w:rPr>
          <w:color w:val="auto"/>
          <w:sz w:val="24"/>
          <w:highlight w:val="none"/>
        </w:rPr>
      </w:pPr>
      <w:r>
        <w:rPr>
          <w:color w:val="auto"/>
          <w:sz w:val="24"/>
          <w:highlight w:val="none"/>
        </w:rPr>
        <w:t>供应商拒绝对电子投标文件进行解密的；</w:t>
      </w:r>
    </w:p>
    <w:p>
      <w:pPr>
        <w:pStyle w:val="25"/>
        <w:numPr>
          <w:ilvl w:val="0"/>
          <w:numId w:val="20"/>
        </w:numPr>
        <w:tabs>
          <w:tab w:val="left" w:pos="1315"/>
        </w:tabs>
        <w:spacing w:before="172" w:after="0" w:line="374" w:lineRule="auto"/>
        <w:ind w:left="232" w:right="231" w:firstLine="480"/>
        <w:jc w:val="left"/>
        <w:rPr>
          <w:color w:val="auto"/>
          <w:sz w:val="24"/>
          <w:highlight w:val="none"/>
        </w:rPr>
      </w:pPr>
      <w:r>
        <w:rPr>
          <w:color w:val="auto"/>
          <w:sz w:val="24"/>
          <w:highlight w:val="none"/>
        </w:rPr>
        <w:t>因供应商自身原因（</w:t>
      </w:r>
      <w:r>
        <w:rPr>
          <w:color w:val="auto"/>
          <w:spacing w:val="-14"/>
          <w:sz w:val="24"/>
          <w:highlight w:val="none"/>
        </w:rPr>
        <w:t xml:space="preserve">如未带 </w:t>
      </w:r>
      <w:r>
        <w:rPr>
          <w:color w:val="auto"/>
          <w:sz w:val="24"/>
          <w:highlight w:val="none"/>
        </w:rPr>
        <w:t>CA</w:t>
      </w:r>
      <w:r>
        <w:rPr>
          <w:color w:val="auto"/>
          <w:spacing w:val="-17"/>
          <w:sz w:val="24"/>
          <w:highlight w:val="none"/>
        </w:rPr>
        <w:t xml:space="preserve"> 锁、或所带 </w:t>
      </w:r>
      <w:r>
        <w:rPr>
          <w:color w:val="auto"/>
          <w:sz w:val="24"/>
          <w:highlight w:val="none"/>
        </w:rPr>
        <w:t>CA</w:t>
      </w:r>
      <w:r>
        <w:rPr>
          <w:color w:val="auto"/>
          <w:spacing w:val="-11"/>
          <w:sz w:val="24"/>
          <w:highlight w:val="none"/>
        </w:rPr>
        <w:t xml:space="preserve"> 锁与制作电子投标文件使用的 </w:t>
      </w:r>
      <w:r>
        <w:rPr>
          <w:color w:val="auto"/>
          <w:sz w:val="24"/>
          <w:highlight w:val="none"/>
        </w:rPr>
        <w:t>CA</w:t>
      </w:r>
      <w:r>
        <w:rPr>
          <w:color w:val="auto"/>
          <w:spacing w:val="-33"/>
          <w:sz w:val="24"/>
          <w:highlight w:val="none"/>
        </w:rPr>
        <w:t xml:space="preserve"> 锁</w:t>
      </w:r>
      <w:r>
        <w:rPr>
          <w:color w:val="auto"/>
          <w:sz w:val="24"/>
          <w:highlight w:val="none"/>
        </w:rPr>
        <w:t>不一致、或沿用旧版招标文件编制投标文件等情形），导致在规定时间内无法解密投标文件</w:t>
      </w:r>
    </w:p>
    <w:p>
      <w:pPr>
        <w:spacing w:after="0" w:line="374" w:lineRule="auto"/>
        <w:jc w:val="left"/>
        <w:rPr>
          <w:color w:val="auto"/>
          <w:sz w:val="24"/>
          <w:highlight w:val="none"/>
        </w:rPr>
        <w:sectPr>
          <w:pgSz w:w="11910" w:h="16840"/>
          <w:pgMar w:top="1220" w:right="900" w:bottom="1200" w:left="900" w:header="0" w:footer="928" w:gutter="0"/>
        </w:sectPr>
      </w:pPr>
    </w:p>
    <w:p>
      <w:pPr>
        <w:pStyle w:val="7"/>
        <w:spacing w:before="38"/>
        <w:rPr>
          <w:color w:val="auto"/>
          <w:highlight w:val="none"/>
        </w:rPr>
      </w:pPr>
      <w:r>
        <w:rPr>
          <w:color w:val="auto"/>
          <w:highlight w:val="none"/>
        </w:rPr>
        <w:t>的；</w:t>
      </w:r>
    </w:p>
    <w:p>
      <w:pPr>
        <w:pStyle w:val="25"/>
        <w:numPr>
          <w:ilvl w:val="0"/>
          <w:numId w:val="20"/>
        </w:numPr>
        <w:tabs>
          <w:tab w:val="left" w:pos="1315"/>
        </w:tabs>
        <w:spacing w:before="173" w:after="0" w:line="240" w:lineRule="auto"/>
        <w:ind w:left="1314" w:right="0" w:hanging="602"/>
        <w:jc w:val="left"/>
        <w:rPr>
          <w:color w:val="auto"/>
          <w:sz w:val="24"/>
          <w:highlight w:val="none"/>
        </w:rPr>
      </w:pPr>
      <w:r>
        <w:rPr>
          <w:color w:val="auto"/>
          <w:sz w:val="24"/>
          <w:highlight w:val="none"/>
        </w:rPr>
        <w:t>上传的电子投标文件无法打开的；</w:t>
      </w:r>
    </w:p>
    <w:p>
      <w:pPr>
        <w:pStyle w:val="25"/>
        <w:numPr>
          <w:ilvl w:val="0"/>
          <w:numId w:val="20"/>
        </w:numPr>
        <w:tabs>
          <w:tab w:val="left" w:pos="1315"/>
        </w:tabs>
        <w:spacing w:before="173" w:after="0" w:line="240" w:lineRule="auto"/>
        <w:ind w:left="1314" w:right="0" w:hanging="602"/>
        <w:jc w:val="left"/>
        <w:rPr>
          <w:color w:val="auto"/>
          <w:sz w:val="24"/>
          <w:highlight w:val="none"/>
        </w:rPr>
      </w:pPr>
      <w:r>
        <w:rPr>
          <w:color w:val="auto"/>
          <w:sz w:val="24"/>
          <w:highlight w:val="none"/>
        </w:rPr>
        <w:t>政府采购法律法规规定的其他无效情形。</w:t>
      </w:r>
    </w:p>
    <w:p>
      <w:pPr>
        <w:pStyle w:val="25"/>
        <w:numPr>
          <w:ilvl w:val="1"/>
          <w:numId w:val="15"/>
        </w:numPr>
        <w:tabs>
          <w:tab w:val="left" w:pos="1254"/>
        </w:tabs>
        <w:spacing w:before="172" w:after="0" w:line="240" w:lineRule="auto"/>
        <w:ind w:left="1253" w:right="0" w:hanging="541"/>
        <w:jc w:val="left"/>
        <w:rPr>
          <w:color w:val="auto"/>
          <w:sz w:val="24"/>
          <w:highlight w:val="none"/>
        </w:rPr>
      </w:pPr>
      <w:r>
        <w:rPr>
          <w:color w:val="auto"/>
          <w:sz w:val="24"/>
          <w:highlight w:val="none"/>
        </w:rPr>
        <w:t>特殊情形下的应急处置</w:t>
      </w:r>
    </w:p>
    <w:p>
      <w:pPr>
        <w:pStyle w:val="7"/>
        <w:spacing w:before="173" w:line="374" w:lineRule="auto"/>
        <w:ind w:right="240" w:firstLine="480"/>
        <w:rPr>
          <w:color w:val="auto"/>
          <w:highlight w:val="none"/>
        </w:rPr>
      </w:pPr>
      <w:r>
        <w:rPr>
          <w:color w:val="auto"/>
          <w:highlight w:val="none"/>
        </w:rPr>
        <w:t>在开标、评审过程中，如因停电、断网、电子化系统故障等特殊原因导致电子化开、评标无法正常进行时，将以纸质投标文件为准继续开展后续采购活动</w:t>
      </w:r>
    </w:p>
    <w:p>
      <w:pPr>
        <w:pStyle w:val="6"/>
        <w:numPr>
          <w:ilvl w:val="0"/>
          <w:numId w:val="15"/>
        </w:numPr>
        <w:tabs>
          <w:tab w:val="left" w:pos="1201"/>
        </w:tabs>
        <w:spacing w:before="0" w:after="0" w:line="240" w:lineRule="auto"/>
        <w:ind w:left="1200" w:right="0" w:hanging="486"/>
        <w:jc w:val="left"/>
        <w:rPr>
          <w:color w:val="auto"/>
          <w:highlight w:val="none"/>
        </w:rPr>
      </w:pPr>
      <w:r>
        <w:rPr>
          <w:color w:val="auto"/>
          <w:highlight w:val="none"/>
        </w:rPr>
        <w:t>磋商小组</w:t>
      </w:r>
    </w:p>
    <w:p>
      <w:pPr>
        <w:pStyle w:val="25"/>
        <w:numPr>
          <w:ilvl w:val="1"/>
          <w:numId w:val="15"/>
        </w:numPr>
        <w:tabs>
          <w:tab w:val="left" w:pos="1314"/>
        </w:tabs>
        <w:spacing w:before="173" w:after="0" w:line="374" w:lineRule="auto"/>
        <w:ind w:left="232" w:right="113" w:firstLine="480"/>
        <w:jc w:val="left"/>
        <w:rPr>
          <w:color w:val="auto"/>
          <w:sz w:val="24"/>
          <w:highlight w:val="none"/>
        </w:rPr>
      </w:pPr>
      <w:r>
        <w:rPr>
          <w:color w:val="auto"/>
          <w:spacing w:val="-6"/>
          <w:sz w:val="24"/>
          <w:highlight w:val="none"/>
        </w:rPr>
        <w:t>招标采购单位将按照《中华人民共和国政府采购法》、《政府采购货物和服务招标</w:t>
      </w:r>
      <w:r>
        <w:rPr>
          <w:color w:val="auto"/>
          <w:spacing w:val="-12"/>
          <w:sz w:val="24"/>
          <w:highlight w:val="none"/>
        </w:rPr>
        <w:t>投标管理办法》及《政府采购竞争性磋商采购方式管理暂行办法》等有关规定组建磋商小组。</w:t>
      </w:r>
    </w:p>
    <w:p>
      <w:pPr>
        <w:pStyle w:val="25"/>
        <w:numPr>
          <w:ilvl w:val="1"/>
          <w:numId w:val="15"/>
        </w:numPr>
        <w:tabs>
          <w:tab w:val="left" w:pos="1314"/>
        </w:tabs>
        <w:spacing w:before="1" w:after="0" w:line="240" w:lineRule="auto"/>
        <w:ind w:left="1313" w:right="0" w:hanging="601"/>
        <w:jc w:val="left"/>
        <w:rPr>
          <w:color w:val="auto"/>
          <w:sz w:val="24"/>
          <w:highlight w:val="none"/>
        </w:rPr>
      </w:pPr>
      <w:r>
        <w:rPr>
          <w:color w:val="auto"/>
          <w:spacing w:val="-5"/>
          <w:sz w:val="24"/>
          <w:highlight w:val="none"/>
        </w:rPr>
        <w:t>磋商小组由采购人代表及评审专家组成，评审专家从政府采购专家库中随机抽取产</w:t>
      </w:r>
    </w:p>
    <w:p>
      <w:pPr>
        <w:pStyle w:val="7"/>
        <w:spacing w:before="172"/>
        <w:rPr>
          <w:color w:val="auto"/>
          <w:highlight w:val="none"/>
        </w:rPr>
      </w:pPr>
      <w:r>
        <w:rPr>
          <w:color w:val="auto"/>
          <w:highlight w:val="none"/>
        </w:rPr>
        <w:t>生。</w:t>
      </w:r>
    </w:p>
    <w:p>
      <w:pPr>
        <w:pStyle w:val="25"/>
        <w:numPr>
          <w:ilvl w:val="1"/>
          <w:numId w:val="15"/>
        </w:numPr>
        <w:tabs>
          <w:tab w:val="left" w:pos="1314"/>
        </w:tabs>
        <w:spacing w:before="173" w:after="0" w:line="240" w:lineRule="auto"/>
        <w:ind w:left="1313" w:right="0" w:hanging="601"/>
        <w:jc w:val="left"/>
        <w:rPr>
          <w:color w:val="auto"/>
          <w:sz w:val="24"/>
          <w:highlight w:val="none"/>
        </w:rPr>
      </w:pPr>
      <w:r>
        <w:rPr>
          <w:color w:val="auto"/>
          <w:spacing w:val="-6"/>
          <w:sz w:val="24"/>
          <w:highlight w:val="none"/>
        </w:rPr>
        <w:t>磋商小组负责磋商工作，对磋商响应文件进行审查和评估，并向招标采购单位提交</w:t>
      </w:r>
    </w:p>
    <w:p>
      <w:pPr>
        <w:pStyle w:val="7"/>
        <w:spacing w:before="3"/>
        <w:ind w:left="0"/>
        <w:rPr>
          <w:color w:val="auto"/>
          <w:sz w:val="8"/>
          <w:highlight w:val="none"/>
        </w:rPr>
      </w:pPr>
    </w:p>
    <w:p>
      <w:pPr>
        <w:pStyle w:val="7"/>
        <w:spacing w:before="67"/>
        <w:rPr>
          <w:color w:val="auto"/>
          <w:highlight w:val="none"/>
        </w:rPr>
      </w:pPr>
      <w:r>
        <w:rPr>
          <w:color w:val="auto"/>
          <w:highlight w:val="none"/>
        </w:rPr>
        <w:t>书面评审报告，推荐成交候选人。</w:t>
      </w:r>
    </w:p>
    <w:p>
      <w:pPr>
        <w:pStyle w:val="25"/>
        <w:numPr>
          <w:ilvl w:val="1"/>
          <w:numId w:val="15"/>
        </w:numPr>
        <w:tabs>
          <w:tab w:val="left" w:pos="1314"/>
        </w:tabs>
        <w:spacing w:before="172" w:after="0" w:line="374" w:lineRule="auto"/>
        <w:ind w:left="232" w:right="233" w:firstLine="480"/>
        <w:jc w:val="both"/>
        <w:rPr>
          <w:color w:val="auto"/>
          <w:sz w:val="24"/>
          <w:highlight w:val="none"/>
        </w:rPr>
      </w:pPr>
      <w:r>
        <w:rPr>
          <w:color w:val="auto"/>
          <w:spacing w:val="-8"/>
          <w:sz w:val="24"/>
          <w:highlight w:val="none"/>
        </w:rPr>
        <w:t>文件开启后，直到向成交的投标单位授予承包合同为止，凡与审查、澄清、评价和</w:t>
      </w:r>
      <w:r>
        <w:rPr>
          <w:color w:val="auto"/>
          <w:sz w:val="24"/>
          <w:highlight w:val="none"/>
        </w:rPr>
        <w:t>比较磋商的有关资料及授标意见等内容，磋商小组均不得向其他投标单位及与磋商无关的其他人透露。</w:t>
      </w:r>
    </w:p>
    <w:p>
      <w:pPr>
        <w:pStyle w:val="6"/>
        <w:ind w:left="715"/>
        <w:rPr>
          <w:color w:val="auto"/>
          <w:highlight w:val="none"/>
        </w:rPr>
      </w:pPr>
      <w:r>
        <w:rPr>
          <w:color w:val="auto"/>
          <w:highlight w:val="none"/>
        </w:rPr>
        <w:t>20、磋商办法及内容</w:t>
      </w:r>
    </w:p>
    <w:p>
      <w:pPr>
        <w:pStyle w:val="25"/>
        <w:numPr>
          <w:ilvl w:val="1"/>
          <w:numId w:val="21"/>
        </w:numPr>
        <w:tabs>
          <w:tab w:val="left" w:pos="1314"/>
        </w:tabs>
        <w:spacing w:before="173" w:after="0" w:line="240" w:lineRule="auto"/>
        <w:ind w:left="1313" w:right="0" w:hanging="601"/>
        <w:jc w:val="left"/>
        <w:rPr>
          <w:color w:val="auto"/>
          <w:sz w:val="24"/>
          <w:highlight w:val="none"/>
        </w:rPr>
      </w:pPr>
      <w:r>
        <w:rPr>
          <w:color w:val="auto"/>
          <w:sz w:val="24"/>
          <w:highlight w:val="none"/>
        </w:rPr>
        <w:t>磋商原则：</w:t>
      </w:r>
    </w:p>
    <w:p>
      <w:pPr>
        <w:pStyle w:val="25"/>
        <w:numPr>
          <w:ilvl w:val="0"/>
          <w:numId w:val="22"/>
        </w:numPr>
        <w:tabs>
          <w:tab w:val="left" w:pos="1315"/>
        </w:tabs>
        <w:spacing w:before="173" w:after="0" w:line="240" w:lineRule="auto"/>
        <w:ind w:left="1314" w:right="0" w:hanging="602"/>
        <w:jc w:val="left"/>
        <w:rPr>
          <w:color w:val="auto"/>
          <w:sz w:val="24"/>
          <w:highlight w:val="none"/>
        </w:rPr>
      </w:pPr>
      <w:r>
        <w:rPr>
          <w:color w:val="auto"/>
          <w:sz w:val="24"/>
          <w:highlight w:val="none"/>
        </w:rPr>
        <w:t>坚持磋商机会均等，信息公开，公平竞争的原则。</w:t>
      </w:r>
    </w:p>
    <w:p>
      <w:pPr>
        <w:pStyle w:val="25"/>
        <w:numPr>
          <w:ilvl w:val="0"/>
          <w:numId w:val="22"/>
        </w:numPr>
        <w:tabs>
          <w:tab w:val="left" w:pos="1315"/>
        </w:tabs>
        <w:spacing w:before="172" w:after="0" w:line="240" w:lineRule="auto"/>
        <w:ind w:left="1314" w:right="0" w:hanging="602"/>
        <w:jc w:val="left"/>
        <w:rPr>
          <w:color w:val="auto"/>
          <w:sz w:val="24"/>
          <w:highlight w:val="none"/>
        </w:rPr>
      </w:pPr>
      <w:r>
        <w:rPr>
          <w:color w:val="auto"/>
          <w:sz w:val="24"/>
          <w:highlight w:val="none"/>
        </w:rPr>
        <w:t>坚持竞争性、经济实效性和公平性原则。</w:t>
      </w:r>
    </w:p>
    <w:p>
      <w:pPr>
        <w:pStyle w:val="25"/>
        <w:numPr>
          <w:ilvl w:val="0"/>
          <w:numId w:val="22"/>
        </w:numPr>
        <w:tabs>
          <w:tab w:val="left" w:pos="1315"/>
        </w:tabs>
        <w:spacing w:before="173" w:after="0" w:line="240" w:lineRule="auto"/>
        <w:ind w:left="1314" w:right="0" w:hanging="602"/>
        <w:jc w:val="left"/>
        <w:rPr>
          <w:color w:val="auto"/>
          <w:sz w:val="24"/>
          <w:highlight w:val="none"/>
        </w:rPr>
      </w:pPr>
      <w:r>
        <w:rPr>
          <w:color w:val="auto"/>
          <w:sz w:val="24"/>
          <w:highlight w:val="none"/>
        </w:rPr>
        <w:t>综合评估，择优选择技术方案优、业绩好、服务有保证的成交单位。</w:t>
      </w:r>
    </w:p>
    <w:p>
      <w:pPr>
        <w:pStyle w:val="25"/>
        <w:numPr>
          <w:ilvl w:val="1"/>
          <w:numId w:val="21"/>
        </w:numPr>
        <w:tabs>
          <w:tab w:val="left" w:pos="1314"/>
        </w:tabs>
        <w:spacing w:before="172" w:after="0" w:line="240" w:lineRule="auto"/>
        <w:ind w:left="1313" w:right="0" w:hanging="601"/>
        <w:jc w:val="left"/>
        <w:rPr>
          <w:color w:val="auto"/>
          <w:sz w:val="24"/>
          <w:highlight w:val="none"/>
        </w:rPr>
      </w:pPr>
      <w:r>
        <w:rPr>
          <w:color w:val="auto"/>
          <w:sz w:val="24"/>
          <w:highlight w:val="none"/>
        </w:rPr>
        <w:t>磋商程序：</w:t>
      </w:r>
    </w:p>
    <w:p>
      <w:pPr>
        <w:pStyle w:val="7"/>
        <w:spacing w:before="173" w:line="374" w:lineRule="auto"/>
        <w:ind w:right="240" w:firstLine="480"/>
        <w:rPr>
          <w:color w:val="auto"/>
          <w:highlight w:val="none"/>
        </w:rPr>
      </w:pPr>
      <w:r>
        <w:rPr>
          <w:color w:val="auto"/>
          <w:highlight w:val="none"/>
        </w:rPr>
        <w:t>磋商的全过程分为资格审查、第一次报价、符合性评审、磋商过程、最终报价、最终评审六个阶段。最终报价采取集中报价形式。</w:t>
      </w:r>
    </w:p>
    <w:p>
      <w:pPr>
        <w:pStyle w:val="25"/>
        <w:numPr>
          <w:ilvl w:val="2"/>
          <w:numId w:val="21"/>
        </w:numPr>
        <w:tabs>
          <w:tab w:val="left" w:pos="2034"/>
        </w:tabs>
        <w:spacing w:before="0" w:after="0" w:line="240" w:lineRule="auto"/>
        <w:ind w:left="2033" w:right="0" w:hanging="841"/>
        <w:jc w:val="left"/>
        <w:rPr>
          <w:color w:val="auto"/>
          <w:sz w:val="24"/>
          <w:highlight w:val="none"/>
        </w:rPr>
      </w:pPr>
      <w:r>
        <w:rPr>
          <w:color w:val="auto"/>
          <w:sz w:val="24"/>
          <w:highlight w:val="none"/>
        </w:rPr>
        <w:t>依据程序，第一次报价和最终报价不予以公开。</w:t>
      </w:r>
    </w:p>
    <w:p>
      <w:pPr>
        <w:pStyle w:val="25"/>
        <w:numPr>
          <w:ilvl w:val="2"/>
          <w:numId w:val="21"/>
        </w:numPr>
        <w:tabs>
          <w:tab w:val="left" w:pos="2034"/>
        </w:tabs>
        <w:spacing w:before="173" w:after="0" w:line="374" w:lineRule="auto"/>
        <w:ind w:left="232" w:right="232" w:firstLine="960"/>
        <w:jc w:val="left"/>
        <w:rPr>
          <w:color w:val="auto"/>
          <w:sz w:val="24"/>
          <w:highlight w:val="none"/>
        </w:rPr>
      </w:pPr>
      <w:r>
        <w:rPr>
          <w:b/>
          <w:color w:val="auto"/>
          <w:sz w:val="24"/>
          <w:highlight w:val="none"/>
        </w:rPr>
        <w:t>资格审查</w:t>
      </w:r>
      <w:r>
        <w:rPr>
          <w:color w:val="auto"/>
          <w:spacing w:val="-11"/>
          <w:sz w:val="24"/>
          <w:highlight w:val="none"/>
        </w:rPr>
        <w:t>：本次磋商所要求的必备资质证明文件，缺其中一项或某项达不到</w:t>
      </w:r>
      <w:r>
        <w:rPr>
          <w:color w:val="auto"/>
          <w:sz w:val="24"/>
          <w:highlight w:val="none"/>
        </w:rPr>
        <w:t>磋商要求，均按无效文件处理。</w:t>
      </w:r>
    </w:p>
    <w:p>
      <w:pPr>
        <w:spacing w:after="0" w:line="374" w:lineRule="auto"/>
        <w:jc w:val="left"/>
        <w:rPr>
          <w:color w:val="auto"/>
          <w:sz w:val="24"/>
          <w:highlight w:val="none"/>
        </w:rPr>
        <w:sectPr>
          <w:pgSz w:w="11910" w:h="16840"/>
          <w:pgMar w:top="1220" w:right="900" w:bottom="1200" w:left="900" w:header="0" w:footer="928" w:gutter="0"/>
        </w:sectPr>
      </w:pPr>
    </w:p>
    <w:tbl>
      <w:tblPr>
        <w:tblStyle w:val="10"/>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586"/>
        <w:gridCol w:w="7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8" w:hRule="atLeast"/>
        </w:trPr>
        <w:tc>
          <w:tcPr>
            <w:tcW w:w="1008" w:type="dxa"/>
          </w:tcPr>
          <w:p>
            <w:pPr>
              <w:pStyle w:val="26"/>
              <w:spacing w:before="5"/>
              <w:rPr>
                <w:color w:val="auto"/>
                <w:sz w:val="28"/>
                <w:highlight w:val="none"/>
              </w:rPr>
            </w:pPr>
          </w:p>
          <w:p>
            <w:pPr>
              <w:pStyle w:val="26"/>
              <w:ind w:left="263"/>
              <w:rPr>
                <w:b/>
                <w:color w:val="auto"/>
                <w:sz w:val="24"/>
                <w:highlight w:val="none"/>
              </w:rPr>
            </w:pPr>
            <w:r>
              <w:rPr>
                <w:b/>
                <w:color w:val="auto"/>
                <w:sz w:val="24"/>
                <w:highlight w:val="none"/>
              </w:rPr>
              <w:t>序号</w:t>
            </w:r>
          </w:p>
        </w:tc>
        <w:tc>
          <w:tcPr>
            <w:tcW w:w="1586" w:type="dxa"/>
          </w:tcPr>
          <w:p>
            <w:pPr>
              <w:pStyle w:val="26"/>
              <w:spacing w:before="5"/>
              <w:rPr>
                <w:color w:val="auto"/>
                <w:sz w:val="28"/>
                <w:highlight w:val="none"/>
              </w:rPr>
            </w:pPr>
          </w:p>
          <w:p>
            <w:pPr>
              <w:pStyle w:val="26"/>
              <w:ind w:right="297"/>
              <w:jc w:val="right"/>
              <w:rPr>
                <w:b/>
                <w:color w:val="auto"/>
                <w:sz w:val="24"/>
                <w:highlight w:val="none"/>
              </w:rPr>
            </w:pPr>
            <w:r>
              <w:rPr>
                <w:b/>
                <w:color w:val="auto"/>
                <w:sz w:val="24"/>
                <w:highlight w:val="none"/>
              </w:rPr>
              <w:t>审查因素</w:t>
            </w:r>
          </w:p>
        </w:tc>
        <w:tc>
          <w:tcPr>
            <w:tcW w:w="7280" w:type="dxa"/>
          </w:tcPr>
          <w:p>
            <w:pPr>
              <w:pStyle w:val="26"/>
              <w:spacing w:before="5"/>
              <w:rPr>
                <w:color w:val="auto"/>
                <w:sz w:val="28"/>
                <w:highlight w:val="none"/>
              </w:rPr>
            </w:pPr>
          </w:p>
          <w:p>
            <w:pPr>
              <w:pStyle w:val="26"/>
              <w:ind w:left="3380" w:right="2886"/>
              <w:jc w:val="center"/>
              <w:rPr>
                <w:b/>
                <w:color w:val="auto"/>
                <w:sz w:val="24"/>
                <w:highlight w:val="none"/>
              </w:rPr>
            </w:pPr>
            <w:r>
              <w:rPr>
                <w:b/>
                <w:color w:val="auto"/>
                <w:sz w:val="24"/>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1008" w:type="dxa"/>
          </w:tcPr>
          <w:p>
            <w:pPr>
              <w:pStyle w:val="26"/>
              <w:rPr>
                <w:color w:val="auto"/>
                <w:sz w:val="24"/>
                <w:highlight w:val="none"/>
              </w:rPr>
            </w:pPr>
          </w:p>
          <w:p>
            <w:pPr>
              <w:pStyle w:val="26"/>
              <w:rPr>
                <w:color w:val="auto"/>
                <w:sz w:val="24"/>
                <w:highlight w:val="none"/>
              </w:rPr>
            </w:pPr>
          </w:p>
          <w:p>
            <w:pPr>
              <w:pStyle w:val="26"/>
              <w:spacing w:before="3"/>
              <w:rPr>
                <w:color w:val="auto"/>
                <w:sz w:val="23"/>
                <w:highlight w:val="none"/>
              </w:rPr>
            </w:pPr>
          </w:p>
          <w:p>
            <w:pPr>
              <w:pStyle w:val="26"/>
              <w:ind w:left="202"/>
              <w:jc w:val="center"/>
              <w:rPr>
                <w:b/>
                <w:color w:val="auto"/>
                <w:sz w:val="24"/>
                <w:highlight w:val="none"/>
              </w:rPr>
            </w:pPr>
            <w:r>
              <w:rPr>
                <w:b/>
                <w:color w:val="auto"/>
                <w:w w:val="99"/>
                <w:sz w:val="24"/>
                <w:highlight w:val="none"/>
              </w:rPr>
              <w:t>1</w:t>
            </w:r>
          </w:p>
        </w:tc>
        <w:tc>
          <w:tcPr>
            <w:tcW w:w="1586" w:type="dxa"/>
            <w:vAlign w:val="center"/>
          </w:tcPr>
          <w:p>
            <w:pPr>
              <w:pStyle w:val="26"/>
              <w:spacing w:line="374" w:lineRule="auto"/>
              <w:ind w:left="0" w:leftChars="0" w:right="57" w:firstLine="0" w:firstLineChars="0"/>
              <w:jc w:val="center"/>
              <w:rPr>
                <w:b/>
                <w:color w:val="auto"/>
                <w:sz w:val="24"/>
                <w:highlight w:val="none"/>
              </w:rPr>
            </w:pPr>
            <w:r>
              <w:rPr>
                <w:b/>
                <w:color w:val="auto"/>
                <w:sz w:val="24"/>
                <w:highlight w:val="none"/>
              </w:rPr>
              <w:t>有效的主体资格证明</w:t>
            </w:r>
          </w:p>
        </w:tc>
        <w:tc>
          <w:tcPr>
            <w:tcW w:w="7280" w:type="dxa"/>
          </w:tcPr>
          <w:p>
            <w:pPr>
              <w:pStyle w:val="26"/>
              <w:spacing w:before="21" w:line="480" w:lineRule="atLeast"/>
              <w:ind w:left="58" w:right="43" w:firstLine="480"/>
              <w:jc w:val="both"/>
              <w:rPr>
                <w:color w:val="auto"/>
                <w:sz w:val="24"/>
                <w:highlight w:val="none"/>
              </w:rPr>
            </w:pPr>
            <w:r>
              <w:rPr>
                <w:color w:val="auto"/>
                <w:spacing w:val="-6"/>
                <w:sz w:val="24"/>
                <w:highlight w:val="none"/>
              </w:rPr>
              <w:t>满足《中华人民共和国政府采购法》第二十二条规定；</w:t>
            </w:r>
            <w:r>
              <w:rPr>
                <w:rFonts w:hint="eastAsia"/>
                <w:color w:val="auto"/>
                <w:spacing w:val="-6"/>
                <w:sz w:val="24"/>
                <w:highlight w:val="none"/>
              </w:rPr>
              <w:t>具有合法有效的营业执照、税务登记证和组织机构代码证合法有效（三证合一的企业只提供带有统一社会信用代码的营业执照副本）</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1008" w:type="dxa"/>
          </w:tcPr>
          <w:p>
            <w:pPr>
              <w:pStyle w:val="26"/>
              <w:rPr>
                <w:color w:val="auto"/>
                <w:sz w:val="24"/>
                <w:highlight w:val="none"/>
              </w:rPr>
            </w:pPr>
          </w:p>
          <w:p>
            <w:pPr>
              <w:pStyle w:val="26"/>
              <w:rPr>
                <w:color w:val="auto"/>
                <w:sz w:val="24"/>
                <w:highlight w:val="none"/>
              </w:rPr>
            </w:pPr>
          </w:p>
          <w:p>
            <w:pPr>
              <w:pStyle w:val="26"/>
              <w:spacing w:before="178"/>
              <w:ind w:left="202"/>
              <w:jc w:val="center"/>
              <w:rPr>
                <w:b/>
                <w:color w:val="auto"/>
                <w:sz w:val="24"/>
                <w:highlight w:val="none"/>
              </w:rPr>
            </w:pPr>
            <w:r>
              <w:rPr>
                <w:b/>
                <w:color w:val="auto"/>
                <w:w w:val="99"/>
                <w:sz w:val="24"/>
                <w:highlight w:val="none"/>
              </w:rPr>
              <w:t>2</w:t>
            </w:r>
          </w:p>
        </w:tc>
        <w:tc>
          <w:tcPr>
            <w:tcW w:w="1586" w:type="dxa"/>
          </w:tcPr>
          <w:p>
            <w:pPr>
              <w:pStyle w:val="26"/>
              <w:rPr>
                <w:color w:val="auto"/>
                <w:sz w:val="24"/>
                <w:highlight w:val="none"/>
              </w:rPr>
            </w:pPr>
          </w:p>
          <w:p>
            <w:pPr>
              <w:pStyle w:val="26"/>
              <w:spacing w:before="2"/>
              <w:rPr>
                <w:color w:val="auto"/>
                <w:sz w:val="19"/>
                <w:highlight w:val="none"/>
              </w:rPr>
            </w:pPr>
          </w:p>
          <w:p>
            <w:pPr>
              <w:pStyle w:val="26"/>
              <w:spacing w:line="374" w:lineRule="auto"/>
              <w:ind w:left="312" w:right="57" w:hanging="240"/>
              <w:rPr>
                <w:b/>
                <w:color w:val="auto"/>
                <w:sz w:val="24"/>
                <w:highlight w:val="none"/>
              </w:rPr>
            </w:pPr>
            <w:r>
              <w:rPr>
                <w:b/>
                <w:color w:val="auto"/>
                <w:sz w:val="24"/>
                <w:highlight w:val="none"/>
              </w:rPr>
              <w:t>法定代表人授权委托书</w:t>
            </w:r>
          </w:p>
        </w:tc>
        <w:tc>
          <w:tcPr>
            <w:tcW w:w="7280" w:type="dxa"/>
          </w:tcPr>
          <w:p>
            <w:pPr>
              <w:pStyle w:val="26"/>
              <w:spacing w:before="5"/>
              <w:rPr>
                <w:color w:val="auto"/>
                <w:sz w:val="24"/>
                <w:highlight w:val="none"/>
              </w:rPr>
            </w:pPr>
          </w:p>
          <w:p>
            <w:pPr>
              <w:pStyle w:val="26"/>
              <w:spacing w:before="1" w:line="374" w:lineRule="auto"/>
              <w:ind w:left="58" w:right="42" w:firstLine="480"/>
              <w:jc w:val="both"/>
              <w:rPr>
                <w:color w:val="auto"/>
                <w:sz w:val="24"/>
                <w:highlight w:val="none"/>
              </w:rPr>
            </w:pPr>
            <w:r>
              <w:rPr>
                <w:rFonts w:hint="eastAsia"/>
                <w:color w:val="auto"/>
                <w:sz w:val="24"/>
                <w:highlight w:val="none"/>
              </w:rPr>
              <w:t>企业法人授权委托书和被授权人有效身份证件（法定代表人直接参加时，只须出示法定代表人身份证件；授权委托人须提供本公司所在地社会保险管理部门出具的被授权人在本单位缴纳社会保险的清单或其他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1008"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2"/>
              <w:rPr>
                <w:color w:val="auto"/>
                <w:sz w:val="18"/>
                <w:highlight w:val="none"/>
              </w:rPr>
            </w:pPr>
          </w:p>
          <w:p>
            <w:pPr>
              <w:pStyle w:val="26"/>
              <w:ind w:left="202"/>
              <w:jc w:val="center"/>
              <w:rPr>
                <w:b/>
                <w:color w:val="auto"/>
                <w:sz w:val="24"/>
                <w:highlight w:val="none"/>
              </w:rPr>
            </w:pPr>
            <w:r>
              <w:rPr>
                <w:b/>
                <w:color w:val="auto"/>
                <w:w w:val="99"/>
                <w:sz w:val="24"/>
                <w:highlight w:val="none"/>
              </w:rPr>
              <w:t>3</w:t>
            </w:r>
          </w:p>
        </w:tc>
        <w:tc>
          <w:tcPr>
            <w:tcW w:w="1586"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2"/>
              <w:rPr>
                <w:color w:val="auto"/>
                <w:sz w:val="18"/>
                <w:highlight w:val="none"/>
              </w:rPr>
            </w:pPr>
          </w:p>
          <w:p>
            <w:pPr>
              <w:pStyle w:val="26"/>
              <w:ind w:right="297"/>
              <w:jc w:val="right"/>
              <w:rPr>
                <w:b/>
                <w:color w:val="auto"/>
                <w:sz w:val="24"/>
                <w:highlight w:val="none"/>
              </w:rPr>
            </w:pPr>
            <w:r>
              <w:rPr>
                <w:b/>
                <w:color w:val="auto"/>
                <w:sz w:val="24"/>
                <w:highlight w:val="none"/>
              </w:rPr>
              <w:t>资质证明</w:t>
            </w:r>
          </w:p>
        </w:tc>
        <w:tc>
          <w:tcPr>
            <w:tcW w:w="7280" w:type="dxa"/>
          </w:tcPr>
          <w:p>
            <w:pPr>
              <w:pStyle w:val="26"/>
              <w:spacing w:before="23" w:line="480" w:lineRule="atLeast"/>
              <w:ind w:left="58" w:right="43" w:firstLine="480"/>
              <w:jc w:val="both"/>
              <w:rPr>
                <w:color w:val="auto"/>
                <w:sz w:val="24"/>
                <w:highlight w:val="none"/>
              </w:rPr>
            </w:pPr>
            <w:r>
              <w:rPr>
                <w:rFonts w:hint="eastAsia"/>
                <w:color w:val="auto"/>
                <w:spacing w:val="-10"/>
                <w:sz w:val="24"/>
                <w:highlight w:val="none"/>
              </w:rPr>
              <w:t>投标企业须具备相关行政主管部门颁发的公路工程或市政公用工程施工总承包三级(含三级)及以上资质和有效的安全生产许可证</w:t>
            </w:r>
            <w:r>
              <w:rPr>
                <w:color w:val="auto"/>
                <w:spacing w:val="-10"/>
                <w:sz w:val="24"/>
                <w:highlight w:val="none"/>
              </w:rPr>
              <w:t>，</w:t>
            </w:r>
            <w:r>
              <w:rPr>
                <w:rFonts w:hint="eastAsia"/>
                <w:color w:val="auto"/>
                <w:spacing w:val="-10"/>
                <w:sz w:val="24"/>
                <w:highlight w:val="none"/>
              </w:rPr>
              <w:t>拟派项目经理须具有相应专业二级及以上（含二级）注册建造师执业资格证、注册证、有效的安全生产考核合格证书及项目经理无在建工程承诺</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1008" w:type="dxa"/>
          </w:tcPr>
          <w:p>
            <w:pPr>
              <w:pStyle w:val="26"/>
              <w:rPr>
                <w:color w:val="auto"/>
                <w:sz w:val="24"/>
                <w:highlight w:val="none"/>
              </w:rPr>
            </w:pPr>
          </w:p>
          <w:p>
            <w:pPr>
              <w:pStyle w:val="26"/>
              <w:spacing w:before="9"/>
              <w:rPr>
                <w:color w:val="auto"/>
                <w:sz w:val="28"/>
                <w:highlight w:val="none"/>
              </w:rPr>
            </w:pPr>
          </w:p>
          <w:p>
            <w:pPr>
              <w:pStyle w:val="26"/>
              <w:ind w:left="202"/>
              <w:jc w:val="center"/>
              <w:rPr>
                <w:b/>
                <w:color w:val="auto"/>
                <w:sz w:val="24"/>
                <w:highlight w:val="none"/>
              </w:rPr>
            </w:pPr>
            <w:r>
              <w:rPr>
                <w:b/>
                <w:color w:val="auto"/>
                <w:w w:val="99"/>
                <w:sz w:val="24"/>
                <w:highlight w:val="none"/>
              </w:rPr>
              <w:t>4</w:t>
            </w:r>
          </w:p>
        </w:tc>
        <w:tc>
          <w:tcPr>
            <w:tcW w:w="1586" w:type="dxa"/>
            <w:vAlign w:val="center"/>
          </w:tcPr>
          <w:p>
            <w:pPr>
              <w:pStyle w:val="26"/>
              <w:spacing w:line="374" w:lineRule="auto"/>
              <w:ind w:left="72" w:right="57"/>
              <w:jc w:val="both"/>
              <w:rPr>
                <w:b/>
                <w:color w:val="auto"/>
                <w:sz w:val="24"/>
                <w:highlight w:val="none"/>
              </w:rPr>
            </w:pPr>
            <w:r>
              <w:rPr>
                <w:b/>
                <w:color w:val="auto"/>
                <w:sz w:val="24"/>
                <w:highlight w:val="none"/>
              </w:rPr>
              <w:t>主体信用查询记录</w:t>
            </w:r>
            <w:r>
              <w:rPr>
                <w:rFonts w:hint="eastAsia"/>
                <w:b/>
                <w:color w:val="auto"/>
                <w:sz w:val="24"/>
                <w:highlight w:val="none"/>
                <w:lang w:eastAsia="zh-CN"/>
              </w:rPr>
              <w:t>及</w:t>
            </w:r>
            <w:r>
              <w:rPr>
                <w:b/>
                <w:color w:val="auto"/>
                <w:sz w:val="24"/>
                <w:highlight w:val="none"/>
              </w:rPr>
              <w:t>无重大违法纪录的书面声明</w:t>
            </w:r>
          </w:p>
        </w:tc>
        <w:tc>
          <w:tcPr>
            <w:tcW w:w="7280" w:type="dxa"/>
            <w:vAlign w:val="center"/>
          </w:tcPr>
          <w:p>
            <w:pPr>
              <w:pStyle w:val="26"/>
              <w:spacing w:before="1" w:line="360" w:lineRule="auto"/>
              <w:ind w:left="58" w:firstLine="440" w:firstLineChars="200"/>
              <w:jc w:val="left"/>
              <w:rPr>
                <w:color w:val="auto"/>
                <w:sz w:val="24"/>
                <w:highlight w:val="none"/>
              </w:rPr>
            </w:pPr>
            <w:r>
              <w:rPr>
                <w:rFonts w:hint="eastAsia"/>
                <w:color w:val="auto"/>
                <w:spacing w:val="-10"/>
                <w:sz w:val="24"/>
                <w:highlight w:val="none"/>
              </w:rPr>
              <w:t>通过中国政府采购网（www.ccgp.gov.cn）和“信用中国”网站(www.creditchina.gov.cn)查询相关主体无失信记录（网站查询的截图，加盖企业公章）以及参加政府采购活动前3年内在经营活动中没有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008" w:type="dxa"/>
          </w:tcPr>
          <w:p>
            <w:pPr>
              <w:pStyle w:val="26"/>
              <w:spacing w:before="5"/>
              <w:rPr>
                <w:color w:val="auto"/>
                <w:sz w:val="27"/>
                <w:highlight w:val="none"/>
              </w:rPr>
            </w:pPr>
          </w:p>
          <w:p>
            <w:pPr>
              <w:pStyle w:val="26"/>
              <w:spacing w:before="1"/>
              <w:ind w:left="202"/>
              <w:jc w:val="center"/>
              <w:rPr>
                <w:rFonts w:hint="eastAsia" w:eastAsia="楷体"/>
                <w:b/>
                <w:color w:val="auto"/>
                <w:sz w:val="24"/>
                <w:highlight w:val="none"/>
                <w:lang w:eastAsia="zh-CN"/>
              </w:rPr>
            </w:pPr>
            <w:r>
              <w:rPr>
                <w:rFonts w:hint="eastAsia"/>
                <w:b/>
                <w:color w:val="auto"/>
                <w:w w:val="99"/>
                <w:sz w:val="24"/>
                <w:highlight w:val="none"/>
                <w:lang w:val="en-US" w:eastAsia="zh-CN"/>
              </w:rPr>
              <w:t>5</w:t>
            </w:r>
          </w:p>
        </w:tc>
        <w:tc>
          <w:tcPr>
            <w:tcW w:w="1586" w:type="dxa"/>
          </w:tcPr>
          <w:p>
            <w:pPr>
              <w:pStyle w:val="26"/>
              <w:spacing w:before="5"/>
              <w:rPr>
                <w:color w:val="auto"/>
                <w:sz w:val="27"/>
                <w:highlight w:val="none"/>
              </w:rPr>
            </w:pPr>
          </w:p>
          <w:p>
            <w:pPr>
              <w:pStyle w:val="26"/>
              <w:spacing w:before="1"/>
              <w:ind w:left="434"/>
              <w:rPr>
                <w:b/>
                <w:color w:val="auto"/>
                <w:sz w:val="24"/>
                <w:highlight w:val="none"/>
              </w:rPr>
            </w:pPr>
            <w:r>
              <w:rPr>
                <w:b/>
                <w:color w:val="auto"/>
                <w:sz w:val="24"/>
                <w:highlight w:val="none"/>
              </w:rPr>
              <w:t>联合体</w:t>
            </w:r>
          </w:p>
        </w:tc>
        <w:tc>
          <w:tcPr>
            <w:tcW w:w="7280" w:type="dxa"/>
          </w:tcPr>
          <w:p>
            <w:pPr>
              <w:pStyle w:val="26"/>
              <w:spacing w:before="5"/>
              <w:rPr>
                <w:color w:val="auto"/>
                <w:sz w:val="27"/>
                <w:highlight w:val="none"/>
              </w:rPr>
            </w:pPr>
          </w:p>
          <w:p>
            <w:pPr>
              <w:pStyle w:val="26"/>
              <w:spacing w:before="1"/>
              <w:ind w:left="538"/>
              <w:rPr>
                <w:color w:val="auto"/>
                <w:sz w:val="24"/>
                <w:highlight w:val="none"/>
              </w:rPr>
            </w:pPr>
            <w:r>
              <w:rPr>
                <w:color w:val="auto"/>
                <w:sz w:val="24"/>
                <w:highlight w:val="none"/>
              </w:rPr>
              <w:t>本项目不接受联合体投标；（需提供非联合声明承诺书）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008" w:type="dxa"/>
          </w:tcPr>
          <w:p>
            <w:pPr>
              <w:pStyle w:val="26"/>
              <w:spacing w:before="6"/>
              <w:rPr>
                <w:color w:val="auto"/>
                <w:sz w:val="23"/>
                <w:highlight w:val="none"/>
              </w:rPr>
            </w:pPr>
          </w:p>
          <w:p>
            <w:pPr>
              <w:pStyle w:val="26"/>
              <w:ind w:left="202"/>
              <w:jc w:val="center"/>
              <w:rPr>
                <w:rFonts w:hint="eastAsia" w:eastAsia="楷体"/>
                <w:b/>
                <w:color w:val="auto"/>
                <w:sz w:val="24"/>
                <w:highlight w:val="none"/>
                <w:lang w:eastAsia="zh-CN"/>
              </w:rPr>
            </w:pPr>
            <w:r>
              <w:rPr>
                <w:rFonts w:hint="eastAsia"/>
                <w:b/>
                <w:color w:val="auto"/>
                <w:w w:val="99"/>
                <w:sz w:val="24"/>
                <w:highlight w:val="none"/>
                <w:lang w:val="en-US" w:eastAsia="zh-CN"/>
              </w:rPr>
              <w:t>6</w:t>
            </w:r>
          </w:p>
        </w:tc>
        <w:tc>
          <w:tcPr>
            <w:tcW w:w="1586" w:type="dxa"/>
          </w:tcPr>
          <w:p>
            <w:pPr>
              <w:pStyle w:val="26"/>
              <w:spacing w:before="6"/>
              <w:rPr>
                <w:color w:val="auto"/>
                <w:sz w:val="23"/>
                <w:highlight w:val="none"/>
              </w:rPr>
            </w:pPr>
          </w:p>
          <w:p>
            <w:pPr>
              <w:pStyle w:val="26"/>
              <w:ind w:right="309"/>
              <w:jc w:val="right"/>
              <w:rPr>
                <w:b/>
                <w:color w:val="auto"/>
                <w:sz w:val="24"/>
                <w:highlight w:val="none"/>
              </w:rPr>
            </w:pPr>
            <w:r>
              <w:rPr>
                <w:b/>
                <w:color w:val="auto"/>
                <w:w w:val="95"/>
                <w:sz w:val="24"/>
                <w:highlight w:val="none"/>
              </w:rPr>
              <w:t>保证金</w:t>
            </w:r>
          </w:p>
        </w:tc>
        <w:tc>
          <w:tcPr>
            <w:tcW w:w="7280" w:type="dxa"/>
          </w:tcPr>
          <w:p>
            <w:pPr>
              <w:pStyle w:val="26"/>
              <w:spacing w:before="6"/>
              <w:rPr>
                <w:color w:val="auto"/>
                <w:sz w:val="23"/>
                <w:highlight w:val="none"/>
              </w:rPr>
            </w:pPr>
          </w:p>
          <w:p>
            <w:pPr>
              <w:pStyle w:val="26"/>
              <w:ind w:left="538"/>
              <w:rPr>
                <w:color w:val="auto"/>
                <w:sz w:val="24"/>
                <w:highlight w:val="none"/>
              </w:rPr>
            </w:pPr>
            <w:r>
              <w:rPr>
                <w:color w:val="auto"/>
                <w:sz w:val="24"/>
                <w:highlight w:val="none"/>
              </w:rPr>
              <w:t>保证金缴纳凭证。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9874" w:type="dxa"/>
            <w:gridSpan w:val="3"/>
          </w:tcPr>
          <w:p>
            <w:pPr>
              <w:pStyle w:val="26"/>
              <w:spacing w:before="23" w:line="480" w:lineRule="atLeast"/>
              <w:ind w:left="57" w:right="49" w:firstLine="482"/>
              <w:rPr>
                <w:b/>
                <w:color w:val="auto"/>
                <w:sz w:val="24"/>
                <w:highlight w:val="none"/>
              </w:rPr>
            </w:pPr>
            <w:r>
              <w:rPr>
                <w:b/>
                <w:color w:val="auto"/>
                <w:spacing w:val="-12"/>
                <w:sz w:val="24"/>
                <w:highlight w:val="none"/>
              </w:rPr>
              <w:t>注：以上资料原件或复印件须单独装袋递交，以备审查。审查不合格的投标供应商将视为</w:t>
            </w:r>
            <w:r>
              <w:rPr>
                <w:b/>
                <w:color w:val="auto"/>
                <w:sz w:val="24"/>
                <w:highlight w:val="none"/>
              </w:rPr>
              <w:t>非响应投标，不再进入后续评标阶段。</w:t>
            </w:r>
          </w:p>
        </w:tc>
      </w:tr>
    </w:tbl>
    <w:p>
      <w:pPr>
        <w:spacing w:after="0" w:line="480" w:lineRule="atLeast"/>
        <w:rPr>
          <w:color w:val="auto"/>
          <w:sz w:val="24"/>
          <w:highlight w:val="none"/>
        </w:rPr>
        <w:sectPr>
          <w:pgSz w:w="11910" w:h="16840"/>
          <w:pgMar w:top="1120" w:right="900" w:bottom="1120" w:left="900" w:header="0" w:footer="928" w:gutter="0"/>
        </w:sectPr>
      </w:pPr>
    </w:p>
    <w:p>
      <w:pPr>
        <w:pStyle w:val="7"/>
        <w:spacing w:before="38" w:line="374" w:lineRule="auto"/>
        <w:ind w:right="231" w:firstLine="482"/>
        <w:rPr>
          <w:color w:val="auto"/>
          <w:highlight w:val="none"/>
        </w:rPr>
      </w:pPr>
      <w:r>
        <w:rPr>
          <w:color w:val="auto"/>
          <w:highlight w:val="none"/>
        </w:rPr>
        <w:pict>
          <v:shape id="_x0000_s1026" o:spid="_x0000_s1026" o:spt="202" type="#_x0000_t202" style="position:absolute;left:0pt;margin-left:53.75pt;margin-top:42.7pt;height:291.4pt;width:488.0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9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20" w:type="dxa"/>
                      </w:tcPr>
                      <w:p>
                        <w:pPr>
                          <w:pStyle w:val="26"/>
                          <w:spacing w:before="57"/>
                          <w:ind w:left="103" w:right="84"/>
                          <w:jc w:val="center"/>
                          <w:rPr>
                            <w:b/>
                            <w:sz w:val="24"/>
                          </w:rPr>
                        </w:pPr>
                        <w:r>
                          <w:rPr>
                            <w:b/>
                            <w:sz w:val="24"/>
                          </w:rPr>
                          <w:t>序号</w:t>
                        </w:r>
                      </w:p>
                    </w:tc>
                    <w:tc>
                      <w:tcPr>
                        <w:tcW w:w="9025" w:type="dxa"/>
                      </w:tcPr>
                      <w:p>
                        <w:pPr>
                          <w:pStyle w:val="26"/>
                          <w:spacing w:before="57"/>
                          <w:ind w:left="4012" w:right="3998"/>
                          <w:jc w:val="center"/>
                          <w:rPr>
                            <w:b/>
                            <w:sz w:val="24"/>
                          </w:rPr>
                        </w:pPr>
                        <w:r>
                          <w:rPr>
                            <w:b/>
                            <w:sz w:val="24"/>
                          </w:rPr>
                          <w:t>审查因素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20" w:type="dxa"/>
                      </w:tcPr>
                      <w:p>
                        <w:pPr>
                          <w:pStyle w:val="26"/>
                          <w:spacing w:before="86"/>
                          <w:ind w:left="15"/>
                          <w:jc w:val="center"/>
                          <w:rPr>
                            <w:sz w:val="24"/>
                          </w:rPr>
                        </w:pPr>
                        <w:r>
                          <w:rPr>
                            <w:sz w:val="24"/>
                          </w:rPr>
                          <w:t>1</w:t>
                        </w:r>
                      </w:p>
                    </w:tc>
                    <w:tc>
                      <w:tcPr>
                        <w:tcW w:w="9025" w:type="dxa"/>
                      </w:tcPr>
                      <w:p>
                        <w:pPr>
                          <w:pStyle w:val="26"/>
                          <w:spacing w:before="74"/>
                          <w:ind w:left="60"/>
                          <w:rPr>
                            <w:sz w:val="24"/>
                          </w:rPr>
                        </w:pPr>
                        <w:r>
                          <w:rPr>
                            <w:sz w:val="24"/>
                          </w:rPr>
                          <w:t>投标文件项目名称、项目编号与磋商文件一致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20" w:type="dxa"/>
                      </w:tcPr>
                      <w:p>
                        <w:pPr>
                          <w:pStyle w:val="26"/>
                          <w:spacing w:before="57"/>
                          <w:ind w:left="15"/>
                          <w:jc w:val="center"/>
                          <w:rPr>
                            <w:sz w:val="24"/>
                          </w:rPr>
                        </w:pPr>
                        <w:r>
                          <w:rPr>
                            <w:sz w:val="24"/>
                          </w:rPr>
                          <w:t>2</w:t>
                        </w:r>
                      </w:p>
                    </w:tc>
                    <w:tc>
                      <w:tcPr>
                        <w:tcW w:w="9025" w:type="dxa"/>
                      </w:tcPr>
                      <w:p>
                        <w:pPr>
                          <w:pStyle w:val="26"/>
                          <w:spacing w:before="45"/>
                          <w:ind w:left="60"/>
                          <w:rPr>
                            <w:sz w:val="24"/>
                          </w:rPr>
                        </w:pPr>
                        <w:r>
                          <w:rPr>
                            <w:sz w:val="24"/>
                          </w:rPr>
                          <w:t>投标文件中投标人公章、法定代表人签字齐全，或签字人具有法定代表人有效授权书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20" w:type="dxa"/>
                      </w:tcPr>
                      <w:p>
                        <w:pPr>
                          <w:pStyle w:val="26"/>
                          <w:spacing w:before="57"/>
                          <w:ind w:left="15"/>
                          <w:jc w:val="center"/>
                          <w:rPr>
                            <w:sz w:val="24"/>
                          </w:rPr>
                        </w:pPr>
                        <w:r>
                          <w:rPr>
                            <w:sz w:val="24"/>
                          </w:rPr>
                          <w:t>3</w:t>
                        </w:r>
                      </w:p>
                    </w:tc>
                    <w:tc>
                      <w:tcPr>
                        <w:tcW w:w="9025" w:type="dxa"/>
                      </w:tcPr>
                      <w:p>
                        <w:pPr>
                          <w:pStyle w:val="26"/>
                          <w:spacing w:before="45"/>
                          <w:ind w:left="60"/>
                          <w:rPr>
                            <w:sz w:val="24"/>
                          </w:rPr>
                        </w:pPr>
                        <w:r>
                          <w:rPr>
                            <w:sz w:val="24"/>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20" w:type="dxa"/>
                      </w:tcPr>
                      <w:p>
                        <w:pPr>
                          <w:pStyle w:val="26"/>
                          <w:spacing w:before="57"/>
                          <w:ind w:left="15"/>
                          <w:jc w:val="center"/>
                          <w:rPr>
                            <w:sz w:val="24"/>
                          </w:rPr>
                        </w:pPr>
                        <w:r>
                          <w:rPr>
                            <w:sz w:val="24"/>
                          </w:rPr>
                          <w:t>4</w:t>
                        </w:r>
                      </w:p>
                    </w:tc>
                    <w:tc>
                      <w:tcPr>
                        <w:tcW w:w="9025" w:type="dxa"/>
                      </w:tcPr>
                      <w:p>
                        <w:pPr>
                          <w:pStyle w:val="26"/>
                          <w:spacing w:before="45"/>
                          <w:ind w:left="60"/>
                          <w:rPr>
                            <w:sz w:val="24"/>
                          </w:rPr>
                        </w:pPr>
                        <w:r>
                          <w:rPr>
                            <w:sz w:val="24"/>
                          </w:rPr>
                          <w:t>工期符合磋商文件要求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20" w:type="dxa"/>
                      </w:tcPr>
                      <w:p>
                        <w:pPr>
                          <w:pStyle w:val="26"/>
                          <w:spacing w:before="57"/>
                          <w:ind w:left="15"/>
                          <w:jc w:val="center"/>
                          <w:rPr>
                            <w:sz w:val="24"/>
                          </w:rPr>
                        </w:pPr>
                        <w:r>
                          <w:rPr>
                            <w:sz w:val="24"/>
                          </w:rPr>
                          <w:t>5</w:t>
                        </w:r>
                      </w:p>
                    </w:tc>
                    <w:tc>
                      <w:tcPr>
                        <w:tcW w:w="9025" w:type="dxa"/>
                      </w:tcPr>
                      <w:p>
                        <w:pPr>
                          <w:pStyle w:val="26"/>
                          <w:spacing w:before="45"/>
                          <w:ind w:left="60"/>
                          <w:rPr>
                            <w:sz w:val="24"/>
                          </w:rPr>
                        </w:pPr>
                        <w:r>
                          <w:rPr>
                            <w:sz w:val="24"/>
                          </w:rPr>
                          <w:t>投标有效期符合磋商文件要求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20" w:type="dxa"/>
                      </w:tcPr>
                      <w:p>
                        <w:pPr>
                          <w:pStyle w:val="26"/>
                          <w:spacing w:before="91"/>
                          <w:ind w:left="15"/>
                          <w:jc w:val="center"/>
                          <w:rPr>
                            <w:sz w:val="24"/>
                          </w:rPr>
                        </w:pPr>
                        <w:r>
                          <w:rPr>
                            <w:sz w:val="24"/>
                          </w:rPr>
                          <w:t>6</w:t>
                        </w:r>
                      </w:p>
                    </w:tc>
                    <w:tc>
                      <w:tcPr>
                        <w:tcW w:w="9025" w:type="dxa"/>
                      </w:tcPr>
                      <w:p>
                        <w:pPr>
                          <w:pStyle w:val="26"/>
                          <w:spacing w:before="79"/>
                          <w:ind w:left="60"/>
                          <w:rPr>
                            <w:sz w:val="24"/>
                          </w:rPr>
                        </w:pPr>
                        <w:r>
                          <w:rPr>
                            <w:sz w:val="24"/>
                          </w:rPr>
                          <w:t>投标文件按磋商文件要求逐条响应、无缺项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20" w:type="dxa"/>
                      </w:tcPr>
                      <w:p>
                        <w:pPr>
                          <w:pStyle w:val="26"/>
                          <w:spacing w:before="95"/>
                          <w:ind w:left="15"/>
                          <w:jc w:val="center"/>
                          <w:rPr>
                            <w:sz w:val="24"/>
                          </w:rPr>
                        </w:pPr>
                        <w:r>
                          <w:rPr>
                            <w:sz w:val="24"/>
                          </w:rPr>
                          <w:t>7</w:t>
                        </w:r>
                      </w:p>
                    </w:tc>
                    <w:tc>
                      <w:tcPr>
                        <w:tcW w:w="9025" w:type="dxa"/>
                      </w:tcPr>
                      <w:p>
                        <w:pPr>
                          <w:pStyle w:val="26"/>
                          <w:spacing w:before="83"/>
                          <w:ind w:left="60"/>
                          <w:rPr>
                            <w:sz w:val="24"/>
                          </w:rPr>
                        </w:pPr>
                        <w:r>
                          <w:rPr>
                            <w:sz w:val="24"/>
                          </w:rPr>
                          <w:t>磋商方案没有出现严重漏项，没有造成系统缺陷，能够保证该项目的顺利实施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20" w:type="dxa"/>
                      </w:tcPr>
                      <w:p>
                        <w:pPr>
                          <w:pStyle w:val="26"/>
                          <w:spacing w:before="93"/>
                          <w:ind w:left="15"/>
                          <w:jc w:val="center"/>
                          <w:rPr>
                            <w:sz w:val="24"/>
                          </w:rPr>
                        </w:pPr>
                        <w:r>
                          <w:rPr>
                            <w:sz w:val="24"/>
                          </w:rPr>
                          <w:t>8</w:t>
                        </w:r>
                      </w:p>
                    </w:tc>
                    <w:tc>
                      <w:tcPr>
                        <w:tcW w:w="9025" w:type="dxa"/>
                      </w:tcPr>
                      <w:p>
                        <w:pPr>
                          <w:pStyle w:val="26"/>
                          <w:spacing w:before="81"/>
                          <w:ind w:left="60"/>
                          <w:rPr>
                            <w:sz w:val="24"/>
                          </w:rPr>
                        </w:pPr>
                        <w:r>
                          <w:rPr>
                            <w:rFonts w:hint="eastAsia"/>
                            <w:sz w:val="24"/>
                            <w:lang w:eastAsia="zh-CN"/>
                          </w:rPr>
                          <w:t>已</w:t>
                        </w:r>
                        <w:r>
                          <w:rPr>
                            <w:sz w:val="24"/>
                          </w:rPr>
                          <w:t>标价的工程量清单符合计价规则及其配套文件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20" w:type="dxa"/>
                      </w:tcPr>
                      <w:p>
                        <w:pPr>
                          <w:pStyle w:val="26"/>
                          <w:spacing w:before="86"/>
                          <w:ind w:left="15"/>
                          <w:jc w:val="center"/>
                          <w:rPr>
                            <w:sz w:val="24"/>
                          </w:rPr>
                        </w:pPr>
                        <w:r>
                          <w:rPr>
                            <w:sz w:val="24"/>
                          </w:rPr>
                          <w:t>9</w:t>
                        </w:r>
                      </w:p>
                    </w:tc>
                    <w:tc>
                      <w:tcPr>
                        <w:tcW w:w="9025" w:type="dxa"/>
                      </w:tcPr>
                      <w:p>
                        <w:pPr>
                          <w:pStyle w:val="26"/>
                          <w:spacing w:before="74"/>
                          <w:ind w:left="60"/>
                          <w:rPr>
                            <w:sz w:val="24"/>
                          </w:rPr>
                        </w:pPr>
                        <w:r>
                          <w:rPr>
                            <w:sz w:val="24"/>
                          </w:rPr>
                          <w:t>投标文件构成和格式（符合磋商文件要求）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20" w:type="dxa"/>
                      </w:tcPr>
                      <w:p>
                        <w:pPr>
                          <w:pStyle w:val="26"/>
                          <w:spacing w:before="120"/>
                          <w:ind w:left="98" w:right="84"/>
                          <w:jc w:val="center"/>
                          <w:rPr>
                            <w:sz w:val="24"/>
                          </w:rPr>
                        </w:pPr>
                        <w:r>
                          <w:rPr>
                            <w:sz w:val="24"/>
                          </w:rPr>
                          <w:t>10</w:t>
                        </w:r>
                      </w:p>
                    </w:tc>
                    <w:tc>
                      <w:tcPr>
                        <w:tcW w:w="9025" w:type="dxa"/>
                      </w:tcPr>
                      <w:p>
                        <w:pPr>
                          <w:pStyle w:val="26"/>
                          <w:spacing w:before="108"/>
                          <w:ind w:left="60"/>
                          <w:rPr>
                            <w:sz w:val="24"/>
                          </w:rPr>
                        </w:pPr>
                        <w:r>
                          <w:rPr>
                            <w:sz w:val="24"/>
                          </w:rPr>
                          <w:t>其他情况：符合磋商文件或法律法规有关规定的其他情形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745" w:type="dxa"/>
                        <w:gridSpan w:val="2"/>
                      </w:tcPr>
                      <w:p>
                        <w:pPr>
                          <w:pStyle w:val="26"/>
                          <w:spacing w:before="170"/>
                          <w:ind w:left="540"/>
                          <w:rPr>
                            <w:sz w:val="24"/>
                          </w:rPr>
                        </w:pPr>
                        <w:r>
                          <w:rPr>
                            <w:sz w:val="24"/>
                          </w:rPr>
                          <w:t>备注：符合性审查不合格的投标单位不得进入下一评审环节</w:t>
                        </w:r>
                      </w:p>
                    </w:tc>
                  </w:tr>
                </w:tbl>
                <w:p>
                  <w:pPr>
                    <w:pStyle w:val="7"/>
                    <w:ind w:left="0"/>
                  </w:pPr>
                </w:p>
              </w:txbxContent>
            </v:textbox>
          </v:shape>
        </w:pict>
      </w:r>
      <w:r>
        <w:rPr>
          <w:b/>
          <w:color w:val="auto"/>
          <w:highlight w:val="none"/>
        </w:rPr>
        <w:t>符合性评审</w:t>
      </w:r>
      <w:r>
        <w:rPr>
          <w:color w:val="auto"/>
          <w:highlight w:val="none"/>
        </w:rPr>
        <w:t>：磋商小组对响应文件的有效性、完整性和响应程度进行审查；符合性评审应满足以下要求：</w:t>
      </w: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ind w:left="0"/>
        <w:rPr>
          <w:color w:val="auto"/>
          <w:highlight w:val="none"/>
        </w:rPr>
      </w:pPr>
    </w:p>
    <w:p>
      <w:pPr>
        <w:pStyle w:val="7"/>
        <w:spacing w:before="12"/>
        <w:ind w:left="0"/>
        <w:rPr>
          <w:color w:val="auto"/>
          <w:sz w:val="22"/>
          <w:highlight w:val="none"/>
        </w:rPr>
      </w:pPr>
    </w:p>
    <w:p>
      <w:pPr>
        <w:pStyle w:val="7"/>
        <w:spacing w:line="374" w:lineRule="auto"/>
        <w:ind w:right="270" w:firstLine="480"/>
        <w:jc w:val="both"/>
        <w:rPr>
          <w:color w:val="auto"/>
          <w:highlight w:val="none"/>
        </w:rPr>
      </w:pPr>
      <w:r>
        <w:rPr>
          <w:color w:val="auto"/>
          <w:highlight w:val="none"/>
        </w:rPr>
        <w:t>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pPr>
        <w:pStyle w:val="7"/>
        <w:spacing w:before="2" w:line="374" w:lineRule="auto"/>
        <w:ind w:right="113" w:firstLine="480"/>
        <w:rPr>
          <w:color w:val="auto"/>
          <w:highlight w:val="none"/>
        </w:rPr>
      </w:pPr>
      <w:r>
        <w:rPr>
          <w:color w:val="auto"/>
          <w:highlight w:val="none"/>
        </w:rPr>
        <w:t>磋商小组要求投标单位澄清、说明或者更正响应文件应当以书面形式作出。投标单位的</w:t>
      </w:r>
      <w:r>
        <w:rPr>
          <w:color w:val="auto"/>
          <w:spacing w:val="-10"/>
          <w:highlight w:val="none"/>
        </w:rPr>
        <w:t xml:space="preserve">澄清、说明或者更正应当由法定代表人或其授权代表签字或者加盖公章。由授权代表签字的， </w:t>
      </w:r>
      <w:r>
        <w:rPr>
          <w:color w:val="auto"/>
          <w:highlight w:val="none"/>
        </w:rPr>
        <w:t>应当附法定代表人授权书。投标单位为自然人的，应当由本人签字并附身份证明。</w:t>
      </w:r>
    </w:p>
    <w:p>
      <w:pPr>
        <w:pStyle w:val="6"/>
        <w:numPr>
          <w:ilvl w:val="1"/>
          <w:numId w:val="21"/>
        </w:numPr>
        <w:tabs>
          <w:tab w:val="left" w:pos="1321"/>
        </w:tabs>
        <w:spacing w:before="1" w:after="0" w:line="240" w:lineRule="auto"/>
        <w:ind w:left="1320" w:right="0" w:hanging="606"/>
        <w:jc w:val="left"/>
        <w:rPr>
          <w:color w:val="auto"/>
          <w:highlight w:val="none"/>
        </w:rPr>
      </w:pPr>
      <w:r>
        <w:rPr>
          <w:color w:val="auto"/>
          <w:highlight w:val="none"/>
        </w:rPr>
        <w:t>磋商过程</w:t>
      </w:r>
    </w:p>
    <w:p>
      <w:pPr>
        <w:pStyle w:val="25"/>
        <w:numPr>
          <w:ilvl w:val="0"/>
          <w:numId w:val="23"/>
        </w:numPr>
        <w:tabs>
          <w:tab w:val="left" w:pos="1315"/>
        </w:tabs>
        <w:spacing w:before="172" w:after="0" w:line="374" w:lineRule="auto"/>
        <w:ind w:left="232" w:right="232" w:firstLine="480"/>
        <w:jc w:val="left"/>
        <w:rPr>
          <w:color w:val="auto"/>
          <w:sz w:val="24"/>
          <w:highlight w:val="none"/>
        </w:rPr>
      </w:pPr>
      <w:r>
        <w:rPr>
          <w:color w:val="auto"/>
          <w:spacing w:val="-2"/>
          <w:sz w:val="24"/>
          <w:highlight w:val="none"/>
        </w:rPr>
        <w:t>磋商小组所有成员应当集中与单一投标单位分别进行磋商，并给予所有参加磋商</w:t>
      </w:r>
      <w:r>
        <w:rPr>
          <w:color w:val="auto"/>
          <w:spacing w:val="-4"/>
          <w:sz w:val="24"/>
          <w:highlight w:val="none"/>
        </w:rPr>
        <w:t>的投标单位平等的磋商机会。</w:t>
      </w:r>
    </w:p>
    <w:p>
      <w:pPr>
        <w:pStyle w:val="25"/>
        <w:numPr>
          <w:ilvl w:val="0"/>
          <w:numId w:val="23"/>
        </w:numPr>
        <w:tabs>
          <w:tab w:val="left" w:pos="1315"/>
        </w:tabs>
        <w:spacing w:before="1" w:after="0" w:line="374" w:lineRule="auto"/>
        <w:ind w:left="232" w:right="232" w:firstLine="480"/>
        <w:jc w:val="both"/>
        <w:rPr>
          <w:color w:val="auto"/>
          <w:sz w:val="24"/>
          <w:highlight w:val="none"/>
        </w:rPr>
      </w:pPr>
      <w:r>
        <w:rPr>
          <w:color w:val="auto"/>
          <w:spacing w:val="-6"/>
          <w:sz w:val="24"/>
          <w:highlight w:val="none"/>
        </w:rPr>
        <w:t>在磋商过程中，磋商小组可以根据磋商文件和磋商情况实质性变动采购需求中的</w:t>
      </w:r>
      <w:r>
        <w:rPr>
          <w:color w:val="auto"/>
          <w:spacing w:val="-4"/>
          <w:sz w:val="24"/>
          <w:highlight w:val="none"/>
        </w:rPr>
        <w:t>技术、服务要求以及合同草案条款，但不得变动磋商文件中的其他内容。实质性变动的内容，须经采购人代表确认。</w:t>
      </w:r>
    </w:p>
    <w:p>
      <w:pPr>
        <w:pStyle w:val="25"/>
        <w:numPr>
          <w:ilvl w:val="0"/>
          <w:numId w:val="23"/>
        </w:numPr>
        <w:tabs>
          <w:tab w:val="left" w:pos="1315"/>
        </w:tabs>
        <w:spacing w:before="1" w:after="0" w:line="374" w:lineRule="auto"/>
        <w:ind w:left="232" w:right="232" w:firstLine="480"/>
        <w:jc w:val="left"/>
        <w:rPr>
          <w:color w:val="auto"/>
          <w:sz w:val="24"/>
          <w:highlight w:val="none"/>
        </w:rPr>
      </w:pPr>
      <w:r>
        <w:rPr>
          <w:color w:val="auto"/>
          <w:spacing w:val="-2"/>
          <w:sz w:val="24"/>
          <w:highlight w:val="none"/>
        </w:rPr>
        <w:t>对磋商文件作出的实质性变动是磋商文件的有效组成部分，磋商小组应当及时以</w:t>
      </w:r>
      <w:r>
        <w:rPr>
          <w:color w:val="auto"/>
          <w:spacing w:val="-4"/>
          <w:sz w:val="24"/>
          <w:highlight w:val="none"/>
        </w:rPr>
        <w:t>书面形式同时通知所有参加磋商的投标单位。</w:t>
      </w:r>
    </w:p>
    <w:p>
      <w:pPr>
        <w:pStyle w:val="25"/>
        <w:numPr>
          <w:ilvl w:val="0"/>
          <w:numId w:val="23"/>
        </w:numPr>
        <w:tabs>
          <w:tab w:val="left" w:pos="1315"/>
        </w:tabs>
        <w:spacing w:before="1" w:after="0" w:line="240" w:lineRule="auto"/>
        <w:ind w:left="1314" w:right="0" w:hanging="602"/>
        <w:jc w:val="left"/>
        <w:rPr>
          <w:color w:val="auto"/>
          <w:sz w:val="24"/>
          <w:highlight w:val="none"/>
        </w:rPr>
      </w:pPr>
      <w:r>
        <w:rPr>
          <w:color w:val="auto"/>
          <w:spacing w:val="-2"/>
          <w:sz w:val="24"/>
          <w:highlight w:val="none"/>
        </w:rPr>
        <w:t>投标单位应当按照磋商文件的变动情况和磋商小组的要求重新提交响应文件，并由</w:t>
      </w:r>
    </w:p>
    <w:p>
      <w:pPr>
        <w:spacing w:after="0" w:line="240" w:lineRule="auto"/>
        <w:jc w:val="left"/>
        <w:rPr>
          <w:color w:val="auto"/>
          <w:sz w:val="24"/>
          <w:highlight w:val="none"/>
        </w:rPr>
        <w:sectPr>
          <w:pgSz w:w="11910" w:h="16840"/>
          <w:pgMar w:top="1220" w:right="900" w:bottom="1120" w:left="900" w:header="0" w:footer="928" w:gutter="0"/>
        </w:sectPr>
      </w:pPr>
    </w:p>
    <w:p>
      <w:pPr>
        <w:pStyle w:val="7"/>
        <w:spacing w:before="38" w:line="374" w:lineRule="auto"/>
        <w:ind w:right="113"/>
        <w:rPr>
          <w:color w:val="auto"/>
          <w:highlight w:val="none"/>
        </w:rPr>
      </w:pPr>
      <w:r>
        <w:rPr>
          <w:color w:val="auto"/>
          <w:spacing w:val="-6"/>
          <w:highlight w:val="none"/>
        </w:rPr>
        <w:t>其法定代表人或授权代表签字或者加盖公章。由授权代表签字的，应当附法定代表人授权书。</w:t>
      </w:r>
      <w:r>
        <w:rPr>
          <w:color w:val="auto"/>
          <w:highlight w:val="none"/>
        </w:rPr>
        <w:t>投标单位为自然人的，应当由本人签字并附身份证明。</w:t>
      </w:r>
    </w:p>
    <w:p>
      <w:pPr>
        <w:pStyle w:val="6"/>
        <w:numPr>
          <w:ilvl w:val="1"/>
          <w:numId w:val="21"/>
        </w:numPr>
        <w:tabs>
          <w:tab w:val="left" w:pos="1321"/>
        </w:tabs>
        <w:spacing w:before="1" w:after="0" w:line="240" w:lineRule="auto"/>
        <w:ind w:left="1320" w:right="0" w:hanging="606"/>
        <w:jc w:val="left"/>
        <w:rPr>
          <w:color w:val="auto"/>
          <w:highlight w:val="none"/>
        </w:rPr>
      </w:pPr>
      <w:r>
        <w:rPr>
          <w:color w:val="auto"/>
          <w:highlight w:val="none"/>
        </w:rPr>
        <w:t>最终报价</w:t>
      </w:r>
    </w:p>
    <w:p>
      <w:pPr>
        <w:pStyle w:val="7"/>
        <w:spacing w:before="173" w:line="374" w:lineRule="auto"/>
        <w:ind w:right="240" w:firstLine="480"/>
        <w:rPr>
          <w:color w:val="auto"/>
          <w:highlight w:val="none"/>
        </w:rPr>
      </w:pPr>
      <w:r>
        <w:rPr>
          <w:color w:val="auto"/>
          <w:highlight w:val="none"/>
        </w:rPr>
        <w:t>磋商文件能够详细列明采购标的的技术、服务要求的，磋商结束后，所有实质性响应的投标单位应在规定时间内提交最终报价；</w:t>
      </w:r>
    </w:p>
    <w:p>
      <w:pPr>
        <w:pStyle w:val="7"/>
        <w:spacing w:line="374" w:lineRule="auto"/>
        <w:ind w:right="231" w:firstLine="480"/>
        <w:jc w:val="both"/>
        <w:rPr>
          <w:color w:val="auto"/>
          <w:highlight w:val="none"/>
        </w:rPr>
      </w:pPr>
      <w:r>
        <w:rPr>
          <w:color w:val="auto"/>
          <w:highlight w:val="none"/>
        </w:rPr>
        <w:t>磋商文件不能详细列明采购标的的技术、服务要求，需经磋商由投标单位提供最终设计</w:t>
      </w:r>
      <w:r>
        <w:rPr>
          <w:color w:val="auto"/>
          <w:spacing w:val="-2"/>
          <w:highlight w:val="none"/>
        </w:rPr>
        <w:t xml:space="preserve">方案或解决方案的，磋商结束后，磋商小组应当按照少数服从多数的原则投票推荐 </w:t>
      </w:r>
      <w:r>
        <w:rPr>
          <w:color w:val="auto"/>
          <w:highlight w:val="none"/>
        </w:rPr>
        <w:t>3</w:t>
      </w:r>
      <w:r>
        <w:rPr>
          <w:color w:val="auto"/>
          <w:spacing w:val="-15"/>
          <w:highlight w:val="none"/>
        </w:rPr>
        <w:t xml:space="preserve"> 家以上</w:t>
      </w:r>
      <w:r>
        <w:rPr>
          <w:color w:val="auto"/>
          <w:highlight w:val="none"/>
        </w:rPr>
        <w:t>投标单位的设计方案或者解决方案，并要求其在规定时间内提交最终报价。</w:t>
      </w:r>
    </w:p>
    <w:p>
      <w:pPr>
        <w:spacing w:before="1" w:line="374" w:lineRule="auto"/>
        <w:ind w:left="715" w:right="4351" w:hanging="3"/>
        <w:jc w:val="left"/>
        <w:rPr>
          <w:b/>
          <w:color w:val="auto"/>
          <w:sz w:val="24"/>
          <w:highlight w:val="none"/>
        </w:rPr>
      </w:pPr>
      <w:r>
        <w:rPr>
          <w:color w:val="auto"/>
          <w:sz w:val="24"/>
          <w:highlight w:val="none"/>
        </w:rPr>
        <w:t>最终报价是投标单位响应文件的有效组成部分。</w:t>
      </w:r>
      <w:r>
        <w:rPr>
          <w:b/>
          <w:color w:val="auto"/>
          <w:sz w:val="24"/>
          <w:highlight w:val="none"/>
        </w:rPr>
        <w:t>21．响应文件的详细评审</w:t>
      </w:r>
    </w:p>
    <w:p>
      <w:pPr>
        <w:pStyle w:val="25"/>
        <w:numPr>
          <w:ilvl w:val="1"/>
          <w:numId w:val="24"/>
        </w:numPr>
        <w:tabs>
          <w:tab w:val="left" w:pos="1314"/>
        </w:tabs>
        <w:spacing w:before="1" w:after="0" w:line="374" w:lineRule="auto"/>
        <w:ind w:left="232" w:right="232" w:firstLine="480"/>
        <w:jc w:val="left"/>
        <w:rPr>
          <w:color w:val="auto"/>
          <w:sz w:val="24"/>
          <w:highlight w:val="none"/>
        </w:rPr>
      </w:pPr>
      <w:r>
        <w:rPr>
          <w:color w:val="auto"/>
          <w:spacing w:val="-5"/>
          <w:sz w:val="24"/>
          <w:highlight w:val="none"/>
        </w:rPr>
        <w:t>经磋商确定最终采购需求和提交最终报价的投标单位后，由磋商小组采用综合评分</w:t>
      </w:r>
      <w:r>
        <w:rPr>
          <w:color w:val="auto"/>
          <w:sz w:val="24"/>
          <w:highlight w:val="none"/>
        </w:rPr>
        <w:t>法对提交最终报价的投标单位的响应文件和最终报价进行综合评分。</w:t>
      </w:r>
    </w:p>
    <w:p>
      <w:pPr>
        <w:pStyle w:val="25"/>
        <w:numPr>
          <w:ilvl w:val="1"/>
          <w:numId w:val="24"/>
        </w:numPr>
        <w:tabs>
          <w:tab w:val="left" w:pos="1314"/>
        </w:tabs>
        <w:spacing w:before="1" w:after="0" w:line="240" w:lineRule="auto"/>
        <w:ind w:left="1313" w:right="0" w:hanging="601"/>
        <w:jc w:val="left"/>
        <w:rPr>
          <w:color w:val="auto"/>
          <w:sz w:val="24"/>
          <w:highlight w:val="none"/>
        </w:rPr>
      </w:pPr>
      <w:r>
        <w:rPr>
          <w:color w:val="auto"/>
          <w:sz w:val="24"/>
          <w:highlight w:val="none"/>
        </w:rPr>
        <w:t>评标方法：综合评分法。（</w:t>
      </w:r>
      <w:r>
        <w:rPr>
          <w:color w:val="auto"/>
          <w:spacing w:val="-20"/>
          <w:sz w:val="24"/>
          <w:highlight w:val="none"/>
        </w:rPr>
        <w:t xml:space="preserve">满分 </w:t>
      </w:r>
      <w:r>
        <w:rPr>
          <w:color w:val="auto"/>
          <w:sz w:val="24"/>
          <w:highlight w:val="none"/>
        </w:rPr>
        <w:t>100</w:t>
      </w:r>
      <w:r>
        <w:rPr>
          <w:color w:val="auto"/>
          <w:spacing w:val="-30"/>
          <w:sz w:val="24"/>
          <w:highlight w:val="none"/>
        </w:rPr>
        <w:t xml:space="preserve"> 分</w:t>
      </w:r>
      <w:r>
        <w:rPr>
          <w:color w:val="auto"/>
          <w:sz w:val="24"/>
          <w:highlight w:val="none"/>
        </w:rPr>
        <w:t>）</w:t>
      </w:r>
    </w:p>
    <w:p>
      <w:pPr>
        <w:pStyle w:val="7"/>
        <w:spacing w:before="172"/>
        <w:ind w:left="713"/>
        <w:rPr>
          <w:color w:val="auto"/>
          <w:highlight w:val="none"/>
        </w:rPr>
      </w:pPr>
      <w:r>
        <w:rPr>
          <w:color w:val="auto"/>
          <w:highlight w:val="none"/>
        </w:rPr>
        <w:t>评价和比较以响应文件为依据，对所有实质上响应的投标分别从以下方面进行评审赋分。</w:t>
      </w:r>
    </w:p>
    <w:p>
      <w:pPr>
        <w:pStyle w:val="25"/>
        <w:numPr>
          <w:ilvl w:val="1"/>
          <w:numId w:val="24"/>
        </w:numPr>
        <w:tabs>
          <w:tab w:val="left" w:pos="1314"/>
        </w:tabs>
        <w:spacing w:before="173" w:after="29" w:line="240" w:lineRule="auto"/>
        <w:ind w:left="1313" w:right="0" w:hanging="601"/>
        <w:jc w:val="left"/>
        <w:rPr>
          <w:color w:val="auto"/>
          <w:sz w:val="24"/>
          <w:highlight w:val="none"/>
        </w:rPr>
      </w:pPr>
      <w:r>
        <w:rPr>
          <w:color w:val="auto"/>
          <w:sz w:val="24"/>
          <w:highlight w:val="none"/>
        </w:rPr>
        <w:t>评分细则：</w:t>
      </w:r>
    </w:p>
    <w:tbl>
      <w:tblPr>
        <w:tblStyle w:val="10"/>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224"/>
        <w:gridCol w:w="802"/>
        <w:gridCol w:w="6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948" w:type="dxa"/>
          </w:tcPr>
          <w:p>
            <w:pPr>
              <w:pStyle w:val="26"/>
              <w:spacing w:before="6"/>
              <w:rPr>
                <w:color w:val="auto"/>
                <w:sz w:val="24"/>
                <w:highlight w:val="none"/>
              </w:rPr>
            </w:pPr>
          </w:p>
          <w:p>
            <w:pPr>
              <w:pStyle w:val="26"/>
              <w:ind w:left="92" w:right="83"/>
              <w:jc w:val="center"/>
              <w:rPr>
                <w:b/>
                <w:color w:val="auto"/>
                <w:sz w:val="24"/>
                <w:highlight w:val="none"/>
              </w:rPr>
            </w:pPr>
            <w:r>
              <w:rPr>
                <w:b/>
                <w:color w:val="auto"/>
                <w:sz w:val="24"/>
                <w:highlight w:val="none"/>
              </w:rPr>
              <w:t>条款号</w:t>
            </w:r>
          </w:p>
        </w:tc>
        <w:tc>
          <w:tcPr>
            <w:tcW w:w="1224" w:type="dxa"/>
          </w:tcPr>
          <w:p>
            <w:pPr>
              <w:pStyle w:val="26"/>
              <w:spacing w:before="6"/>
              <w:rPr>
                <w:color w:val="auto"/>
                <w:sz w:val="24"/>
                <w:highlight w:val="none"/>
              </w:rPr>
            </w:pPr>
          </w:p>
          <w:p>
            <w:pPr>
              <w:pStyle w:val="26"/>
              <w:ind w:left="89" w:right="80"/>
              <w:jc w:val="center"/>
              <w:rPr>
                <w:b/>
                <w:color w:val="auto"/>
                <w:sz w:val="24"/>
                <w:highlight w:val="none"/>
              </w:rPr>
            </w:pPr>
            <w:r>
              <w:rPr>
                <w:b/>
                <w:color w:val="auto"/>
                <w:sz w:val="24"/>
                <w:highlight w:val="none"/>
              </w:rPr>
              <w:t>条款内容</w:t>
            </w:r>
          </w:p>
        </w:tc>
        <w:tc>
          <w:tcPr>
            <w:tcW w:w="802" w:type="dxa"/>
          </w:tcPr>
          <w:p>
            <w:pPr>
              <w:pStyle w:val="26"/>
              <w:spacing w:before="6"/>
              <w:rPr>
                <w:color w:val="auto"/>
                <w:sz w:val="24"/>
                <w:highlight w:val="none"/>
              </w:rPr>
            </w:pPr>
          </w:p>
          <w:p>
            <w:pPr>
              <w:pStyle w:val="26"/>
              <w:ind w:left="161"/>
              <w:rPr>
                <w:b/>
                <w:color w:val="auto"/>
                <w:sz w:val="24"/>
                <w:highlight w:val="none"/>
              </w:rPr>
            </w:pPr>
            <w:r>
              <w:rPr>
                <w:b/>
                <w:color w:val="auto"/>
                <w:sz w:val="24"/>
                <w:highlight w:val="none"/>
              </w:rPr>
              <w:t>分值</w:t>
            </w:r>
          </w:p>
        </w:tc>
        <w:tc>
          <w:tcPr>
            <w:tcW w:w="6750" w:type="dxa"/>
          </w:tcPr>
          <w:p>
            <w:pPr>
              <w:pStyle w:val="26"/>
              <w:spacing w:before="6"/>
              <w:rPr>
                <w:color w:val="auto"/>
                <w:sz w:val="24"/>
                <w:highlight w:val="none"/>
              </w:rPr>
            </w:pPr>
          </w:p>
          <w:p>
            <w:pPr>
              <w:pStyle w:val="26"/>
              <w:ind w:left="2872" w:right="2863"/>
              <w:jc w:val="center"/>
              <w:rPr>
                <w:b/>
                <w:color w:val="auto"/>
                <w:sz w:val="24"/>
                <w:highlight w:val="none"/>
              </w:rPr>
            </w:pPr>
            <w:r>
              <w:rPr>
                <w:b/>
                <w:color w:val="auto"/>
                <w:sz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948" w:type="dxa"/>
          </w:tcPr>
          <w:p>
            <w:pPr>
              <w:pStyle w:val="26"/>
              <w:rPr>
                <w:color w:val="auto"/>
                <w:sz w:val="24"/>
                <w:highlight w:val="none"/>
              </w:rPr>
            </w:pPr>
          </w:p>
          <w:p>
            <w:pPr>
              <w:pStyle w:val="26"/>
              <w:spacing w:before="5"/>
              <w:rPr>
                <w:color w:val="auto"/>
                <w:sz w:val="23"/>
                <w:highlight w:val="none"/>
              </w:rPr>
            </w:pPr>
          </w:p>
          <w:p>
            <w:pPr>
              <w:pStyle w:val="26"/>
              <w:ind w:left="91" w:right="83"/>
              <w:jc w:val="center"/>
              <w:rPr>
                <w:color w:val="auto"/>
                <w:sz w:val="24"/>
                <w:highlight w:val="none"/>
              </w:rPr>
            </w:pPr>
            <w:r>
              <w:rPr>
                <w:color w:val="auto"/>
                <w:sz w:val="24"/>
                <w:highlight w:val="none"/>
              </w:rPr>
              <w:t>1.1</w:t>
            </w:r>
          </w:p>
        </w:tc>
        <w:tc>
          <w:tcPr>
            <w:tcW w:w="1224" w:type="dxa"/>
          </w:tcPr>
          <w:p>
            <w:pPr>
              <w:pStyle w:val="26"/>
              <w:rPr>
                <w:color w:val="auto"/>
                <w:sz w:val="24"/>
                <w:highlight w:val="none"/>
              </w:rPr>
            </w:pPr>
          </w:p>
          <w:p>
            <w:pPr>
              <w:pStyle w:val="26"/>
              <w:spacing w:before="5"/>
              <w:rPr>
                <w:color w:val="auto"/>
                <w:sz w:val="23"/>
                <w:highlight w:val="none"/>
              </w:rPr>
            </w:pPr>
          </w:p>
          <w:p>
            <w:pPr>
              <w:pStyle w:val="26"/>
              <w:ind w:left="89" w:right="55"/>
              <w:jc w:val="center"/>
              <w:rPr>
                <w:color w:val="auto"/>
                <w:sz w:val="24"/>
                <w:highlight w:val="none"/>
              </w:rPr>
            </w:pPr>
            <w:r>
              <w:rPr>
                <w:color w:val="auto"/>
                <w:sz w:val="24"/>
                <w:highlight w:val="none"/>
              </w:rPr>
              <w:t>商务响应</w:t>
            </w:r>
          </w:p>
        </w:tc>
        <w:tc>
          <w:tcPr>
            <w:tcW w:w="802" w:type="dxa"/>
          </w:tcPr>
          <w:p>
            <w:pPr>
              <w:pStyle w:val="26"/>
              <w:rPr>
                <w:color w:val="auto"/>
                <w:sz w:val="24"/>
                <w:highlight w:val="none"/>
              </w:rPr>
            </w:pPr>
          </w:p>
          <w:p>
            <w:pPr>
              <w:pStyle w:val="26"/>
              <w:spacing w:before="5"/>
              <w:rPr>
                <w:color w:val="auto"/>
                <w:sz w:val="23"/>
                <w:highlight w:val="none"/>
              </w:rPr>
            </w:pPr>
          </w:p>
          <w:p>
            <w:pPr>
              <w:pStyle w:val="26"/>
              <w:ind w:left="192"/>
              <w:rPr>
                <w:color w:val="auto"/>
                <w:sz w:val="24"/>
                <w:highlight w:val="none"/>
              </w:rPr>
            </w:pPr>
            <w:r>
              <w:rPr>
                <w:color w:val="auto"/>
                <w:sz w:val="24"/>
                <w:highlight w:val="none"/>
              </w:rPr>
              <w:t>5 分</w:t>
            </w:r>
          </w:p>
        </w:tc>
        <w:tc>
          <w:tcPr>
            <w:tcW w:w="6750" w:type="dxa"/>
          </w:tcPr>
          <w:p>
            <w:pPr>
              <w:pStyle w:val="26"/>
              <w:spacing w:before="11"/>
              <w:rPr>
                <w:color w:val="auto"/>
                <w:sz w:val="16"/>
                <w:highlight w:val="none"/>
              </w:rPr>
            </w:pPr>
          </w:p>
          <w:p>
            <w:pPr>
              <w:pStyle w:val="26"/>
              <w:ind w:left="108" w:right="-29" w:firstLine="240"/>
              <w:rPr>
                <w:color w:val="auto"/>
                <w:sz w:val="24"/>
                <w:highlight w:val="none"/>
              </w:rPr>
            </w:pPr>
            <w:r>
              <w:rPr>
                <w:color w:val="auto"/>
                <w:sz w:val="24"/>
                <w:highlight w:val="none"/>
              </w:rPr>
              <w:t>经过有效性和符合性审核合格的单位，对工期、付款、验收</w:t>
            </w:r>
          </w:p>
          <w:p>
            <w:pPr>
              <w:pStyle w:val="26"/>
              <w:spacing w:before="2" w:line="440" w:lineRule="atLeast"/>
              <w:ind w:left="108" w:right="-29"/>
              <w:rPr>
                <w:color w:val="auto"/>
                <w:sz w:val="24"/>
                <w:highlight w:val="none"/>
              </w:rPr>
            </w:pPr>
            <w:r>
              <w:rPr>
                <w:color w:val="auto"/>
                <w:spacing w:val="-10"/>
                <w:sz w:val="24"/>
                <w:highlight w:val="none"/>
              </w:rPr>
              <w:t xml:space="preserve">等方面进行响应，完全响应投标格式且逐项详细说明的计 </w:t>
            </w:r>
            <w:r>
              <w:rPr>
                <w:color w:val="auto"/>
                <w:sz w:val="24"/>
                <w:highlight w:val="none"/>
              </w:rPr>
              <w:t>5</w:t>
            </w:r>
            <w:r>
              <w:rPr>
                <w:color w:val="auto"/>
                <w:spacing w:val="-25"/>
                <w:sz w:val="24"/>
                <w:highlight w:val="none"/>
              </w:rPr>
              <w:t xml:space="preserve"> 分， </w:t>
            </w:r>
            <w:r>
              <w:rPr>
                <w:color w:val="auto"/>
                <w:sz w:val="24"/>
                <w:highlight w:val="none"/>
              </w:rPr>
              <w:t>未做详细响应的，不得分。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9" w:hRule="atLeast"/>
        </w:trPr>
        <w:tc>
          <w:tcPr>
            <w:tcW w:w="948"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4"/>
              <w:rPr>
                <w:color w:val="auto"/>
                <w:sz w:val="29"/>
                <w:highlight w:val="none"/>
              </w:rPr>
            </w:pPr>
          </w:p>
          <w:p>
            <w:pPr>
              <w:pStyle w:val="26"/>
              <w:ind w:left="91" w:right="83"/>
              <w:jc w:val="center"/>
              <w:rPr>
                <w:color w:val="auto"/>
                <w:sz w:val="24"/>
                <w:highlight w:val="none"/>
              </w:rPr>
            </w:pPr>
            <w:r>
              <w:rPr>
                <w:color w:val="auto"/>
                <w:sz w:val="24"/>
                <w:highlight w:val="none"/>
              </w:rPr>
              <w:t>1.2</w:t>
            </w:r>
          </w:p>
        </w:tc>
        <w:tc>
          <w:tcPr>
            <w:tcW w:w="1224"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4"/>
              <w:rPr>
                <w:color w:val="auto"/>
                <w:sz w:val="29"/>
                <w:highlight w:val="none"/>
              </w:rPr>
            </w:pPr>
          </w:p>
          <w:p>
            <w:pPr>
              <w:pStyle w:val="26"/>
              <w:ind w:left="89" w:right="55"/>
              <w:jc w:val="center"/>
              <w:rPr>
                <w:color w:val="auto"/>
                <w:sz w:val="24"/>
                <w:highlight w:val="none"/>
              </w:rPr>
            </w:pPr>
            <w:r>
              <w:rPr>
                <w:color w:val="auto"/>
                <w:sz w:val="24"/>
                <w:highlight w:val="none"/>
              </w:rPr>
              <w:t>投标报价</w:t>
            </w:r>
          </w:p>
        </w:tc>
        <w:tc>
          <w:tcPr>
            <w:tcW w:w="802"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6"/>
              <w:rPr>
                <w:color w:val="auto"/>
                <w:sz w:val="32"/>
                <w:highlight w:val="none"/>
              </w:rPr>
            </w:pPr>
          </w:p>
          <w:p>
            <w:pPr>
              <w:pStyle w:val="26"/>
              <w:ind w:left="132"/>
              <w:rPr>
                <w:color w:val="auto"/>
                <w:sz w:val="24"/>
                <w:highlight w:val="none"/>
              </w:rPr>
            </w:pPr>
            <w:r>
              <w:rPr>
                <w:color w:val="auto"/>
                <w:sz w:val="24"/>
                <w:highlight w:val="none"/>
              </w:rPr>
              <w:t>3</w:t>
            </w:r>
            <w:r>
              <w:rPr>
                <w:rFonts w:hint="eastAsia"/>
                <w:color w:val="auto"/>
                <w:sz w:val="24"/>
                <w:highlight w:val="none"/>
                <w:lang w:val="en-US" w:eastAsia="zh-CN"/>
              </w:rPr>
              <w:t>0</w:t>
            </w:r>
            <w:r>
              <w:rPr>
                <w:color w:val="auto"/>
                <w:sz w:val="24"/>
                <w:highlight w:val="none"/>
              </w:rPr>
              <w:t xml:space="preserve"> 分</w:t>
            </w:r>
          </w:p>
        </w:tc>
        <w:tc>
          <w:tcPr>
            <w:tcW w:w="6750" w:type="dxa"/>
          </w:tcPr>
          <w:p>
            <w:pPr>
              <w:pStyle w:val="26"/>
              <w:spacing w:before="3"/>
              <w:rPr>
                <w:color w:val="auto"/>
                <w:sz w:val="19"/>
                <w:highlight w:val="none"/>
              </w:rPr>
            </w:pPr>
          </w:p>
          <w:p>
            <w:pPr>
              <w:pStyle w:val="26"/>
              <w:spacing w:line="343" w:lineRule="auto"/>
              <w:ind w:left="108" w:right="93" w:firstLine="240"/>
              <w:jc w:val="both"/>
              <w:rPr>
                <w:color w:val="auto"/>
                <w:sz w:val="24"/>
                <w:highlight w:val="none"/>
              </w:rPr>
            </w:pPr>
            <w:r>
              <w:rPr>
                <w:color w:val="auto"/>
                <w:sz w:val="24"/>
                <w:highlight w:val="none"/>
              </w:rPr>
              <w:t>以满足磋商文件要求且投标价格最低的投标报价为评标基准价,其价格分为满分 30 分,其他投标人的价格分按照下列公式计算:</w:t>
            </w:r>
          </w:p>
          <w:p>
            <w:pPr>
              <w:pStyle w:val="26"/>
              <w:spacing w:before="1" w:line="343" w:lineRule="auto"/>
              <w:ind w:left="348" w:right="-29"/>
              <w:jc w:val="both"/>
              <w:rPr>
                <w:color w:val="auto"/>
                <w:sz w:val="24"/>
                <w:highlight w:val="none"/>
              </w:rPr>
            </w:pPr>
            <w:r>
              <w:rPr>
                <w:color w:val="auto"/>
                <w:spacing w:val="-3"/>
                <w:sz w:val="24"/>
                <w:highlight w:val="none"/>
              </w:rPr>
              <w:t>按</w:t>
            </w:r>
            <w:r>
              <w:rPr>
                <w:color w:val="auto"/>
                <w:sz w:val="24"/>
                <w:highlight w:val="none"/>
              </w:rPr>
              <w:t>（有效最低报价/有效投标报价）×30</w:t>
            </w:r>
            <w:r>
              <w:rPr>
                <w:color w:val="auto"/>
                <w:spacing w:val="-10"/>
                <w:sz w:val="24"/>
                <w:highlight w:val="none"/>
              </w:rPr>
              <w:t xml:space="preserve"> 的公式计算其得分。</w:t>
            </w:r>
            <w:r>
              <w:rPr>
                <w:color w:val="auto"/>
                <w:sz w:val="24"/>
                <w:highlight w:val="none"/>
              </w:rPr>
              <w:t>符合竞争性磋商文件规定的小微企业，监狱企业优惠条件的</w:t>
            </w:r>
          </w:p>
          <w:p>
            <w:pPr>
              <w:pStyle w:val="26"/>
              <w:spacing w:before="2"/>
              <w:ind w:left="108"/>
              <w:jc w:val="both"/>
              <w:rPr>
                <w:color w:val="auto"/>
                <w:sz w:val="24"/>
                <w:highlight w:val="none"/>
              </w:rPr>
            </w:pPr>
            <w:r>
              <w:rPr>
                <w:color w:val="auto"/>
                <w:sz w:val="24"/>
                <w:highlight w:val="none"/>
              </w:rPr>
              <w:t>供应商，价格给予6</w:t>
            </w:r>
            <w:r>
              <w:rPr>
                <w:rFonts w:hint="eastAsia"/>
                <w:color w:val="auto"/>
                <w:sz w:val="24"/>
                <w:highlight w:val="none"/>
                <w:lang w:val="en-US" w:eastAsia="zh-CN"/>
              </w:rPr>
              <w:t>%</w:t>
            </w:r>
            <w:r>
              <w:rPr>
                <w:color w:val="auto"/>
                <w:sz w:val="24"/>
                <w:highlight w:val="none"/>
              </w:rPr>
              <w:t>的扣除，用扣除后的价格参与评审。</w:t>
            </w:r>
          </w:p>
        </w:tc>
      </w:tr>
    </w:tbl>
    <w:p>
      <w:pPr>
        <w:spacing w:after="0"/>
        <w:jc w:val="both"/>
        <w:rPr>
          <w:color w:val="auto"/>
          <w:sz w:val="24"/>
          <w:highlight w:val="none"/>
        </w:rPr>
        <w:sectPr>
          <w:pgSz w:w="11910" w:h="16840"/>
          <w:pgMar w:top="1220" w:right="900" w:bottom="1200" w:left="900" w:header="0" w:footer="928" w:gutter="0"/>
        </w:sectPr>
      </w:pPr>
    </w:p>
    <w:tbl>
      <w:tblPr>
        <w:tblStyle w:val="10"/>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224"/>
        <w:gridCol w:w="802"/>
        <w:gridCol w:w="6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948"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193"/>
              <w:ind w:right="282"/>
              <w:jc w:val="right"/>
              <w:rPr>
                <w:color w:val="auto"/>
                <w:sz w:val="24"/>
                <w:highlight w:val="none"/>
              </w:rPr>
            </w:pPr>
            <w:r>
              <w:rPr>
                <w:color w:val="auto"/>
                <w:sz w:val="24"/>
                <w:highlight w:val="none"/>
              </w:rPr>
              <w:t>1.3</w:t>
            </w:r>
          </w:p>
        </w:tc>
        <w:tc>
          <w:tcPr>
            <w:tcW w:w="1224"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193"/>
              <w:ind w:left="89" w:right="55"/>
              <w:jc w:val="center"/>
              <w:rPr>
                <w:color w:val="auto"/>
                <w:sz w:val="24"/>
                <w:highlight w:val="none"/>
              </w:rPr>
            </w:pPr>
            <w:r>
              <w:rPr>
                <w:color w:val="auto"/>
                <w:sz w:val="24"/>
                <w:highlight w:val="none"/>
              </w:rPr>
              <w:t>投标方案</w:t>
            </w:r>
          </w:p>
        </w:tc>
        <w:tc>
          <w:tcPr>
            <w:tcW w:w="802"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3"/>
              <w:rPr>
                <w:color w:val="auto"/>
                <w:sz w:val="18"/>
                <w:highlight w:val="none"/>
              </w:rPr>
            </w:pPr>
          </w:p>
          <w:p>
            <w:pPr>
              <w:pStyle w:val="26"/>
              <w:ind w:left="192"/>
              <w:rPr>
                <w:color w:val="auto"/>
                <w:sz w:val="24"/>
                <w:highlight w:val="none"/>
              </w:rPr>
            </w:pPr>
            <w:r>
              <w:rPr>
                <w:color w:val="auto"/>
                <w:sz w:val="24"/>
                <w:highlight w:val="none"/>
              </w:rPr>
              <w:t>5 分</w:t>
            </w:r>
          </w:p>
        </w:tc>
        <w:tc>
          <w:tcPr>
            <w:tcW w:w="6750" w:type="dxa"/>
          </w:tcPr>
          <w:p>
            <w:pPr>
              <w:pStyle w:val="26"/>
              <w:spacing w:before="2"/>
              <w:rPr>
                <w:color w:val="auto"/>
                <w:sz w:val="22"/>
                <w:highlight w:val="none"/>
              </w:rPr>
            </w:pPr>
          </w:p>
          <w:p>
            <w:pPr>
              <w:pStyle w:val="26"/>
              <w:spacing w:line="343" w:lineRule="auto"/>
              <w:ind w:left="108" w:right="89" w:firstLine="240"/>
              <w:jc w:val="both"/>
              <w:rPr>
                <w:color w:val="auto"/>
                <w:sz w:val="24"/>
                <w:highlight w:val="none"/>
              </w:rPr>
            </w:pPr>
            <w:r>
              <w:rPr>
                <w:color w:val="auto"/>
                <w:sz w:val="24"/>
                <w:highlight w:val="none"/>
              </w:rPr>
              <w:t>对整体投标方案进行综合评价，整体方案的协调性、平面布置的合理性、目标明确、技术指标、后期技术服务承诺等，根据投标人方案内容详实、完整、科学合理、严谨、周密程度、</w:t>
            </w:r>
            <w:r>
              <w:rPr>
                <w:color w:val="auto"/>
                <w:spacing w:val="-13"/>
                <w:sz w:val="24"/>
                <w:highlight w:val="none"/>
              </w:rPr>
              <w:t xml:space="preserve">切实可行，措施得力得 </w:t>
            </w:r>
            <w:r>
              <w:rPr>
                <w:color w:val="auto"/>
                <w:sz w:val="24"/>
                <w:highlight w:val="none"/>
              </w:rPr>
              <w:t>4-5</w:t>
            </w:r>
            <w:r>
              <w:rPr>
                <w:color w:val="auto"/>
                <w:spacing w:val="-15"/>
                <w:sz w:val="24"/>
                <w:highlight w:val="none"/>
              </w:rPr>
              <w:t xml:space="preserve"> 分；基本符合实际情况可行的得 </w:t>
            </w:r>
            <w:r>
              <w:rPr>
                <w:color w:val="auto"/>
                <w:spacing w:val="-4"/>
                <w:sz w:val="24"/>
                <w:highlight w:val="none"/>
              </w:rPr>
              <w:t xml:space="preserve">1-3 </w:t>
            </w:r>
            <w:r>
              <w:rPr>
                <w:color w:val="auto"/>
                <w:sz w:val="24"/>
                <w:highlight w:val="none"/>
              </w:rPr>
              <w:t>分；不符合项目实际情况的不得分。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6" w:hRule="atLeast"/>
        </w:trPr>
        <w:tc>
          <w:tcPr>
            <w:tcW w:w="948"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7"/>
              <w:rPr>
                <w:color w:val="auto"/>
                <w:sz w:val="26"/>
                <w:highlight w:val="none"/>
              </w:rPr>
            </w:pPr>
          </w:p>
          <w:p>
            <w:pPr>
              <w:pStyle w:val="26"/>
              <w:ind w:right="282"/>
              <w:jc w:val="right"/>
              <w:rPr>
                <w:color w:val="auto"/>
                <w:sz w:val="24"/>
                <w:highlight w:val="none"/>
              </w:rPr>
            </w:pPr>
            <w:r>
              <w:rPr>
                <w:color w:val="auto"/>
                <w:sz w:val="24"/>
                <w:highlight w:val="none"/>
              </w:rPr>
              <w:t>1.4</w:t>
            </w:r>
          </w:p>
        </w:tc>
        <w:tc>
          <w:tcPr>
            <w:tcW w:w="1224"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184" w:line="242" w:lineRule="auto"/>
              <w:ind w:left="348" w:right="143" w:hanging="240"/>
              <w:rPr>
                <w:color w:val="auto"/>
                <w:sz w:val="24"/>
                <w:highlight w:val="none"/>
              </w:rPr>
            </w:pPr>
            <w:r>
              <w:rPr>
                <w:color w:val="auto"/>
                <w:sz w:val="24"/>
                <w:highlight w:val="none"/>
              </w:rPr>
              <w:t>施工组织设计</w:t>
            </w:r>
          </w:p>
        </w:tc>
        <w:tc>
          <w:tcPr>
            <w:tcW w:w="802"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9"/>
              <w:rPr>
                <w:color w:val="auto"/>
                <w:sz w:val="29"/>
                <w:highlight w:val="none"/>
              </w:rPr>
            </w:pPr>
          </w:p>
          <w:p>
            <w:pPr>
              <w:pStyle w:val="26"/>
              <w:spacing w:before="1"/>
              <w:ind w:left="132"/>
              <w:rPr>
                <w:color w:val="auto"/>
                <w:sz w:val="24"/>
                <w:highlight w:val="none"/>
              </w:rPr>
            </w:pPr>
            <w:r>
              <w:rPr>
                <w:color w:val="auto"/>
                <w:sz w:val="24"/>
                <w:highlight w:val="none"/>
              </w:rPr>
              <w:t>4</w:t>
            </w:r>
            <w:r>
              <w:rPr>
                <w:rFonts w:hint="eastAsia"/>
                <w:color w:val="auto"/>
                <w:sz w:val="24"/>
                <w:highlight w:val="none"/>
                <w:lang w:val="en-US" w:eastAsia="zh-CN"/>
              </w:rPr>
              <w:t>5</w:t>
            </w:r>
            <w:r>
              <w:rPr>
                <w:color w:val="auto"/>
                <w:sz w:val="24"/>
                <w:highlight w:val="none"/>
              </w:rPr>
              <w:t xml:space="preserve"> 分</w:t>
            </w:r>
          </w:p>
        </w:tc>
        <w:tc>
          <w:tcPr>
            <w:tcW w:w="6750" w:type="dxa"/>
          </w:tcPr>
          <w:p>
            <w:pPr>
              <w:pStyle w:val="26"/>
              <w:spacing w:before="6"/>
              <w:rPr>
                <w:color w:val="auto"/>
                <w:sz w:val="17"/>
                <w:highlight w:val="none"/>
              </w:rPr>
            </w:pPr>
          </w:p>
          <w:p>
            <w:pPr>
              <w:pStyle w:val="26"/>
              <w:spacing w:line="328" w:lineRule="auto"/>
              <w:ind w:left="108" w:right="89"/>
              <w:jc w:val="both"/>
              <w:rPr>
                <w:color w:val="auto"/>
                <w:sz w:val="24"/>
                <w:highlight w:val="none"/>
              </w:rPr>
            </w:pPr>
            <w:r>
              <w:rPr>
                <w:color w:val="auto"/>
                <w:sz w:val="24"/>
                <w:highlight w:val="none"/>
              </w:rPr>
              <w:t>按下列分项进行评标，主要考虑施工组织的合理性、科学性、</w:t>
            </w:r>
            <w:r>
              <w:rPr>
                <w:color w:val="auto"/>
                <w:spacing w:val="-3"/>
                <w:sz w:val="24"/>
                <w:highlight w:val="none"/>
              </w:rPr>
              <w:t xml:space="preserve">可行性、有严重错误漏项，该项得 </w:t>
            </w:r>
            <w:r>
              <w:rPr>
                <w:color w:val="auto"/>
                <w:sz w:val="24"/>
                <w:highlight w:val="none"/>
              </w:rPr>
              <w:t>0</w:t>
            </w:r>
            <w:r>
              <w:rPr>
                <w:color w:val="auto"/>
                <w:spacing w:val="-7"/>
                <w:sz w:val="24"/>
                <w:highlight w:val="none"/>
              </w:rPr>
              <w:t xml:space="preserve"> 分；技术部分中质量、工</w:t>
            </w:r>
            <w:r>
              <w:rPr>
                <w:color w:val="auto"/>
                <w:sz w:val="24"/>
                <w:highlight w:val="none"/>
              </w:rPr>
              <w:t>期、安全任何一项不合格者，其技术部分为不合格。</w:t>
            </w:r>
          </w:p>
          <w:p>
            <w:pPr>
              <w:pStyle w:val="26"/>
              <w:tabs>
                <w:tab w:val="left" w:pos="5148"/>
              </w:tabs>
              <w:spacing w:line="304" w:lineRule="exact"/>
              <w:ind w:left="108"/>
              <w:jc w:val="both"/>
              <w:rPr>
                <w:color w:val="auto"/>
                <w:sz w:val="24"/>
                <w:highlight w:val="none"/>
              </w:rPr>
            </w:pPr>
            <w:r>
              <w:rPr>
                <w:color w:val="auto"/>
                <w:sz w:val="24"/>
                <w:highlight w:val="none"/>
              </w:rPr>
              <w:t>① 确保工程质量的技术组织措施</w:t>
            </w:r>
            <w:r>
              <w:rPr>
                <w:color w:val="auto"/>
                <w:sz w:val="24"/>
                <w:highlight w:val="none"/>
              </w:rPr>
              <w:tab/>
            </w:r>
            <w:r>
              <w:rPr>
                <w:color w:val="auto"/>
                <w:sz w:val="24"/>
                <w:highlight w:val="none"/>
              </w:rPr>
              <w:t>（0-5分）</w:t>
            </w:r>
          </w:p>
          <w:p>
            <w:pPr>
              <w:pStyle w:val="26"/>
              <w:tabs>
                <w:tab w:val="left" w:pos="5148"/>
              </w:tabs>
              <w:spacing w:before="114"/>
              <w:ind w:left="108"/>
              <w:rPr>
                <w:color w:val="auto"/>
                <w:sz w:val="24"/>
                <w:highlight w:val="none"/>
              </w:rPr>
            </w:pPr>
            <w:r>
              <w:rPr>
                <w:color w:val="auto"/>
                <w:sz w:val="24"/>
                <w:highlight w:val="none"/>
              </w:rPr>
              <w:t>② 确保安全生产的技术组织措施</w:t>
            </w:r>
            <w:r>
              <w:rPr>
                <w:color w:val="auto"/>
                <w:sz w:val="24"/>
                <w:highlight w:val="none"/>
              </w:rPr>
              <w:tab/>
            </w:r>
            <w:r>
              <w:rPr>
                <w:color w:val="auto"/>
                <w:sz w:val="24"/>
                <w:highlight w:val="none"/>
              </w:rPr>
              <w:t>（0-</w:t>
            </w:r>
            <w:r>
              <w:rPr>
                <w:rFonts w:hint="eastAsia"/>
                <w:color w:val="auto"/>
                <w:sz w:val="24"/>
                <w:highlight w:val="none"/>
                <w:lang w:val="en-US" w:eastAsia="zh-CN"/>
              </w:rPr>
              <w:t>5</w:t>
            </w:r>
            <w:r>
              <w:rPr>
                <w:color w:val="auto"/>
                <w:sz w:val="24"/>
                <w:highlight w:val="none"/>
              </w:rPr>
              <w:t>分)</w:t>
            </w:r>
          </w:p>
          <w:p>
            <w:pPr>
              <w:pStyle w:val="26"/>
              <w:spacing w:before="112"/>
              <w:ind w:left="108"/>
              <w:rPr>
                <w:color w:val="auto"/>
                <w:sz w:val="24"/>
                <w:highlight w:val="none"/>
              </w:rPr>
            </w:pPr>
            <w:r>
              <w:rPr>
                <w:color w:val="auto"/>
                <w:sz w:val="24"/>
                <w:highlight w:val="none"/>
              </w:rPr>
              <w:t>③ 确保文明施工技术组织措施及环境保护措施 （0-</w:t>
            </w:r>
            <w:r>
              <w:rPr>
                <w:rFonts w:hint="eastAsia"/>
                <w:color w:val="auto"/>
                <w:sz w:val="24"/>
                <w:highlight w:val="none"/>
                <w:lang w:val="en-US" w:eastAsia="zh-CN"/>
              </w:rPr>
              <w:t>5</w:t>
            </w:r>
            <w:r>
              <w:rPr>
                <w:color w:val="auto"/>
                <w:spacing w:val="-30"/>
                <w:sz w:val="24"/>
                <w:highlight w:val="none"/>
              </w:rPr>
              <w:t>分</w:t>
            </w:r>
            <w:r>
              <w:rPr>
                <w:color w:val="auto"/>
                <w:sz w:val="24"/>
                <w:highlight w:val="none"/>
              </w:rPr>
              <w:t>）</w:t>
            </w:r>
          </w:p>
          <w:p>
            <w:pPr>
              <w:pStyle w:val="26"/>
              <w:tabs>
                <w:tab w:val="left" w:pos="5148"/>
              </w:tabs>
              <w:spacing w:before="113"/>
              <w:ind w:left="108"/>
              <w:rPr>
                <w:color w:val="auto"/>
                <w:sz w:val="24"/>
                <w:highlight w:val="none"/>
              </w:rPr>
            </w:pPr>
            <w:r>
              <w:rPr>
                <w:color w:val="auto"/>
                <w:sz w:val="24"/>
                <w:highlight w:val="none"/>
              </w:rPr>
              <w:t>④ 确保工期的技术组织措施</w:t>
            </w:r>
            <w:r>
              <w:rPr>
                <w:color w:val="auto"/>
                <w:sz w:val="24"/>
                <w:highlight w:val="none"/>
              </w:rPr>
              <w:tab/>
            </w:r>
            <w:r>
              <w:rPr>
                <w:color w:val="auto"/>
                <w:sz w:val="24"/>
                <w:highlight w:val="none"/>
              </w:rPr>
              <w:t>（0-</w:t>
            </w:r>
            <w:r>
              <w:rPr>
                <w:rFonts w:hint="eastAsia"/>
                <w:color w:val="auto"/>
                <w:sz w:val="24"/>
                <w:highlight w:val="none"/>
                <w:lang w:val="en-US" w:eastAsia="zh-CN"/>
              </w:rPr>
              <w:t>5</w:t>
            </w:r>
            <w:r>
              <w:rPr>
                <w:color w:val="auto"/>
                <w:sz w:val="24"/>
                <w:highlight w:val="none"/>
              </w:rPr>
              <w:t>分）</w:t>
            </w:r>
          </w:p>
          <w:p>
            <w:pPr>
              <w:pStyle w:val="26"/>
              <w:tabs>
                <w:tab w:val="left" w:pos="5148"/>
              </w:tabs>
              <w:spacing w:before="112"/>
              <w:ind w:left="108"/>
              <w:rPr>
                <w:color w:val="auto"/>
                <w:sz w:val="24"/>
                <w:highlight w:val="none"/>
              </w:rPr>
            </w:pPr>
            <w:r>
              <w:rPr>
                <w:color w:val="auto"/>
                <w:sz w:val="24"/>
                <w:highlight w:val="none"/>
              </w:rPr>
              <w:t>⑤ 施工方案和项目部组成人员</w:t>
            </w:r>
            <w:r>
              <w:rPr>
                <w:color w:val="auto"/>
                <w:sz w:val="24"/>
                <w:highlight w:val="none"/>
              </w:rPr>
              <w:tab/>
            </w:r>
            <w:r>
              <w:rPr>
                <w:color w:val="auto"/>
                <w:sz w:val="24"/>
                <w:highlight w:val="none"/>
              </w:rPr>
              <w:t>（0-</w:t>
            </w:r>
            <w:r>
              <w:rPr>
                <w:rFonts w:hint="eastAsia"/>
                <w:color w:val="auto"/>
                <w:sz w:val="24"/>
                <w:highlight w:val="none"/>
                <w:lang w:val="en-US" w:eastAsia="zh-CN"/>
              </w:rPr>
              <w:t>5</w:t>
            </w:r>
            <w:r>
              <w:rPr>
                <w:color w:val="auto"/>
                <w:sz w:val="24"/>
                <w:highlight w:val="none"/>
              </w:rPr>
              <w:t>分)</w:t>
            </w:r>
          </w:p>
          <w:p>
            <w:pPr>
              <w:pStyle w:val="26"/>
              <w:tabs>
                <w:tab w:val="left" w:pos="5148"/>
              </w:tabs>
              <w:spacing w:before="113"/>
              <w:ind w:left="108"/>
              <w:rPr>
                <w:color w:val="auto"/>
                <w:sz w:val="24"/>
                <w:highlight w:val="none"/>
              </w:rPr>
            </w:pPr>
            <w:r>
              <w:rPr>
                <w:color w:val="auto"/>
                <w:sz w:val="24"/>
                <w:highlight w:val="none"/>
              </w:rPr>
              <w:t>⑥ 施工机械配备和材料投入计划</w:t>
            </w:r>
            <w:r>
              <w:rPr>
                <w:color w:val="auto"/>
                <w:sz w:val="24"/>
                <w:highlight w:val="none"/>
              </w:rPr>
              <w:tab/>
            </w:r>
            <w:r>
              <w:rPr>
                <w:color w:val="auto"/>
                <w:sz w:val="24"/>
                <w:highlight w:val="none"/>
              </w:rPr>
              <w:t>（0-</w:t>
            </w:r>
            <w:r>
              <w:rPr>
                <w:rFonts w:hint="eastAsia"/>
                <w:color w:val="auto"/>
                <w:sz w:val="24"/>
                <w:highlight w:val="none"/>
                <w:lang w:val="en-US" w:eastAsia="zh-CN"/>
              </w:rPr>
              <w:t>5</w:t>
            </w:r>
            <w:r>
              <w:rPr>
                <w:color w:val="auto"/>
                <w:sz w:val="24"/>
                <w:highlight w:val="none"/>
              </w:rPr>
              <w:t>分)</w:t>
            </w:r>
          </w:p>
          <w:p>
            <w:pPr>
              <w:pStyle w:val="26"/>
              <w:tabs>
                <w:tab w:val="left" w:pos="5148"/>
              </w:tabs>
              <w:spacing w:before="112"/>
              <w:ind w:left="108"/>
              <w:rPr>
                <w:color w:val="auto"/>
                <w:sz w:val="24"/>
                <w:highlight w:val="none"/>
              </w:rPr>
            </w:pPr>
            <w:r>
              <w:rPr>
                <w:color w:val="auto"/>
                <w:sz w:val="24"/>
                <w:highlight w:val="none"/>
              </w:rPr>
              <w:t>⑦ 施工进度表或施工网络图</w:t>
            </w:r>
            <w:r>
              <w:rPr>
                <w:color w:val="auto"/>
                <w:sz w:val="24"/>
                <w:highlight w:val="none"/>
              </w:rPr>
              <w:tab/>
            </w:r>
            <w:r>
              <w:rPr>
                <w:color w:val="auto"/>
                <w:sz w:val="24"/>
                <w:highlight w:val="none"/>
              </w:rPr>
              <w:t>（0-</w:t>
            </w:r>
            <w:r>
              <w:rPr>
                <w:rFonts w:hint="eastAsia"/>
                <w:color w:val="auto"/>
                <w:sz w:val="24"/>
                <w:highlight w:val="none"/>
                <w:lang w:val="en-US" w:eastAsia="zh-CN"/>
              </w:rPr>
              <w:t>5</w:t>
            </w:r>
            <w:r>
              <w:rPr>
                <w:color w:val="auto"/>
                <w:sz w:val="24"/>
                <w:highlight w:val="none"/>
              </w:rPr>
              <w:t>分)</w:t>
            </w:r>
          </w:p>
          <w:p>
            <w:pPr>
              <w:pStyle w:val="26"/>
              <w:tabs>
                <w:tab w:val="left" w:pos="5148"/>
              </w:tabs>
              <w:spacing w:before="113"/>
              <w:ind w:left="108"/>
              <w:rPr>
                <w:color w:val="auto"/>
                <w:sz w:val="24"/>
                <w:highlight w:val="none"/>
              </w:rPr>
            </w:pPr>
            <w:r>
              <w:rPr>
                <w:color w:val="auto"/>
                <w:sz w:val="24"/>
                <w:highlight w:val="none"/>
              </w:rPr>
              <w:t>⑧ 劳动力安排计划及劳务分包情况表</w:t>
            </w:r>
            <w:r>
              <w:rPr>
                <w:color w:val="auto"/>
                <w:sz w:val="24"/>
                <w:highlight w:val="none"/>
              </w:rPr>
              <w:tab/>
            </w:r>
            <w:r>
              <w:rPr>
                <w:color w:val="auto"/>
                <w:sz w:val="24"/>
                <w:highlight w:val="none"/>
              </w:rPr>
              <w:t>（0-</w:t>
            </w:r>
            <w:r>
              <w:rPr>
                <w:rFonts w:hint="eastAsia"/>
                <w:color w:val="auto"/>
                <w:sz w:val="24"/>
                <w:highlight w:val="none"/>
                <w:lang w:val="en-US" w:eastAsia="zh-CN"/>
              </w:rPr>
              <w:t>5</w:t>
            </w:r>
            <w:r>
              <w:rPr>
                <w:color w:val="auto"/>
                <w:sz w:val="24"/>
                <w:highlight w:val="none"/>
              </w:rPr>
              <w:t>分)</w:t>
            </w:r>
          </w:p>
          <w:p>
            <w:pPr>
              <w:pStyle w:val="26"/>
              <w:tabs>
                <w:tab w:val="left" w:pos="5148"/>
              </w:tabs>
              <w:spacing w:before="112"/>
              <w:ind w:left="108"/>
              <w:rPr>
                <w:color w:val="auto"/>
                <w:sz w:val="24"/>
                <w:highlight w:val="none"/>
              </w:rPr>
            </w:pPr>
            <w:r>
              <w:rPr>
                <w:color w:val="auto"/>
                <w:sz w:val="24"/>
                <w:highlight w:val="none"/>
              </w:rPr>
              <w:t>⑨ 新技术、新产品、新工艺、新材料应用</w:t>
            </w:r>
            <w:r>
              <w:rPr>
                <w:color w:val="auto"/>
                <w:sz w:val="24"/>
                <w:highlight w:val="none"/>
              </w:rPr>
              <w:tab/>
            </w:r>
            <w:r>
              <w:rPr>
                <w:color w:val="auto"/>
                <w:sz w:val="24"/>
                <w:highlight w:val="none"/>
              </w:rPr>
              <w:t>（0-</w:t>
            </w:r>
            <w:r>
              <w:rPr>
                <w:rFonts w:hint="eastAsia"/>
                <w:color w:val="auto"/>
                <w:sz w:val="24"/>
                <w:highlight w:val="none"/>
                <w:lang w:val="en-US" w:eastAsia="zh-CN"/>
              </w:rPr>
              <w:t>5</w:t>
            </w:r>
            <w:r>
              <w:rPr>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948" w:type="dxa"/>
          </w:tcPr>
          <w:p>
            <w:pPr>
              <w:pStyle w:val="26"/>
              <w:rPr>
                <w:color w:val="auto"/>
                <w:sz w:val="31"/>
                <w:highlight w:val="none"/>
              </w:rPr>
            </w:pPr>
          </w:p>
          <w:p>
            <w:pPr>
              <w:pStyle w:val="26"/>
              <w:ind w:right="282"/>
              <w:jc w:val="right"/>
              <w:rPr>
                <w:color w:val="auto"/>
                <w:sz w:val="24"/>
                <w:highlight w:val="none"/>
              </w:rPr>
            </w:pPr>
            <w:r>
              <w:rPr>
                <w:color w:val="auto"/>
                <w:sz w:val="24"/>
                <w:highlight w:val="none"/>
              </w:rPr>
              <w:t>1.5</w:t>
            </w:r>
          </w:p>
        </w:tc>
        <w:tc>
          <w:tcPr>
            <w:tcW w:w="1224" w:type="dxa"/>
          </w:tcPr>
          <w:p>
            <w:pPr>
              <w:pStyle w:val="26"/>
              <w:spacing w:before="11"/>
              <w:rPr>
                <w:color w:val="auto"/>
                <w:sz w:val="17"/>
                <w:highlight w:val="none"/>
              </w:rPr>
            </w:pPr>
          </w:p>
          <w:p>
            <w:pPr>
              <w:pStyle w:val="26"/>
              <w:spacing w:before="1" w:line="328" w:lineRule="auto"/>
              <w:ind w:left="372" w:right="119" w:hanging="240"/>
              <w:rPr>
                <w:color w:val="auto"/>
                <w:sz w:val="24"/>
                <w:highlight w:val="none"/>
              </w:rPr>
            </w:pPr>
            <w:r>
              <w:rPr>
                <w:color w:val="auto"/>
                <w:sz w:val="24"/>
                <w:highlight w:val="none"/>
              </w:rPr>
              <w:t>项目经理职称</w:t>
            </w:r>
          </w:p>
        </w:tc>
        <w:tc>
          <w:tcPr>
            <w:tcW w:w="802" w:type="dxa"/>
          </w:tcPr>
          <w:p>
            <w:pPr>
              <w:pStyle w:val="26"/>
              <w:spacing w:before="5"/>
              <w:rPr>
                <w:color w:val="auto"/>
                <w:sz w:val="34"/>
                <w:highlight w:val="none"/>
              </w:rPr>
            </w:pPr>
          </w:p>
          <w:p>
            <w:pPr>
              <w:pStyle w:val="26"/>
              <w:ind w:left="192"/>
              <w:rPr>
                <w:color w:val="auto"/>
                <w:sz w:val="24"/>
                <w:highlight w:val="none"/>
              </w:rPr>
            </w:pPr>
            <w:r>
              <w:rPr>
                <w:color w:val="auto"/>
                <w:sz w:val="24"/>
                <w:highlight w:val="none"/>
              </w:rPr>
              <w:t>5 分</w:t>
            </w:r>
          </w:p>
        </w:tc>
        <w:tc>
          <w:tcPr>
            <w:tcW w:w="6750" w:type="dxa"/>
          </w:tcPr>
          <w:p>
            <w:pPr>
              <w:pStyle w:val="26"/>
              <w:spacing w:before="11"/>
              <w:rPr>
                <w:color w:val="auto"/>
                <w:sz w:val="17"/>
                <w:highlight w:val="none"/>
              </w:rPr>
            </w:pPr>
          </w:p>
          <w:p>
            <w:pPr>
              <w:pStyle w:val="26"/>
              <w:spacing w:before="1" w:line="328" w:lineRule="auto"/>
              <w:ind w:left="108" w:right="93"/>
              <w:rPr>
                <w:color w:val="auto"/>
                <w:sz w:val="24"/>
                <w:highlight w:val="none"/>
              </w:rPr>
            </w:pPr>
            <w:r>
              <w:rPr>
                <w:color w:val="auto"/>
                <w:spacing w:val="-4"/>
                <w:sz w:val="24"/>
                <w:highlight w:val="none"/>
              </w:rPr>
              <w:t xml:space="preserve">具有相关专业中级职称得 </w:t>
            </w:r>
            <w:r>
              <w:rPr>
                <w:color w:val="auto"/>
                <w:sz w:val="24"/>
                <w:highlight w:val="none"/>
              </w:rPr>
              <w:t>4</w:t>
            </w:r>
            <w:r>
              <w:rPr>
                <w:color w:val="auto"/>
                <w:spacing w:val="-11"/>
                <w:sz w:val="24"/>
                <w:highlight w:val="none"/>
              </w:rPr>
              <w:t xml:space="preserve"> 分，具有高级职称得 </w:t>
            </w:r>
            <w:r>
              <w:rPr>
                <w:color w:val="auto"/>
                <w:sz w:val="24"/>
                <w:highlight w:val="none"/>
              </w:rPr>
              <w:t>5</w:t>
            </w:r>
            <w:r>
              <w:rPr>
                <w:color w:val="auto"/>
                <w:spacing w:val="-11"/>
                <w:sz w:val="24"/>
                <w:highlight w:val="none"/>
              </w:rPr>
              <w:t xml:space="preserve"> 分，其他不</w:t>
            </w:r>
            <w:r>
              <w:rPr>
                <w:color w:val="auto"/>
                <w:sz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948" w:type="dxa"/>
          </w:tcPr>
          <w:p>
            <w:pPr>
              <w:pStyle w:val="26"/>
              <w:rPr>
                <w:color w:val="auto"/>
                <w:sz w:val="24"/>
                <w:highlight w:val="none"/>
              </w:rPr>
            </w:pPr>
          </w:p>
          <w:p>
            <w:pPr>
              <w:pStyle w:val="26"/>
              <w:spacing w:before="8"/>
              <w:rPr>
                <w:color w:val="auto"/>
                <w:sz w:val="21"/>
                <w:highlight w:val="none"/>
              </w:rPr>
            </w:pPr>
          </w:p>
          <w:p>
            <w:pPr>
              <w:pStyle w:val="26"/>
              <w:ind w:left="208"/>
              <w:rPr>
                <w:color w:val="auto"/>
                <w:sz w:val="24"/>
                <w:highlight w:val="none"/>
              </w:rPr>
            </w:pPr>
            <w:r>
              <w:rPr>
                <w:color w:val="auto"/>
                <w:sz w:val="24"/>
                <w:highlight w:val="none"/>
              </w:rPr>
              <w:t>1.6</w:t>
            </w:r>
          </w:p>
        </w:tc>
        <w:tc>
          <w:tcPr>
            <w:tcW w:w="1224" w:type="dxa"/>
          </w:tcPr>
          <w:p>
            <w:pPr>
              <w:pStyle w:val="26"/>
              <w:spacing w:before="6"/>
              <w:rPr>
                <w:color w:val="auto"/>
                <w:sz w:val="32"/>
                <w:highlight w:val="none"/>
              </w:rPr>
            </w:pPr>
          </w:p>
          <w:p>
            <w:pPr>
              <w:pStyle w:val="26"/>
              <w:spacing w:line="328" w:lineRule="auto"/>
              <w:ind w:left="372" w:right="119" w:hanging="240"/>
              <w:rPr>
                <w:color w:val="auto"/>
                <w:sz w:val="24"/>
                <w:highlight w:val="none"/>
              </w:rPr>
            </w:pPr>
            <w:r>
              <w:rPr>
                <w:color w:val="auto"/>
                <w:sz w:val="24"/>
                <w:highlight w:val="none"/>
              </w:rPr>
              <w:t>类似项目业绩</w:t>
            </w:r>
          </w:p>
        </w:tc>
        <w:tc>
          <w:tcPr>
            <w:tcW w:w="802" w:type="dxa"/>
          </w:tcPr>
          <w:p>
            <w:pPr>
              <w:pStyle w:val="26"/>
              <w:rPr>
                <w:color w:val="auto"/>
                <w:sz w:val="24"/>
                <w:highlight w:val="none"/>
              </w:rPr>
            </w:pPr>
          </w:p>
          <w:p>
            <w:pPr>
              <w:pStyle w:val="26"/>
              <w:spacing w:before="10"/>
              <w:rPr>
                <w:color w:val="auto"/>
                <w:sz w:val="24"/>
                <w:highlight w:val="none"/>
              </w:rPr>
            </w:pPr>
          </w:p>
          <w:p>
            <w:pPr>
              <w:pStyle w:val="26"/>
              <w:ind w:left="132"/>
              <w:rPr>
                <w:color w:val="auto"/>
                <w:sz w:val="24"/>
                <w:highlight w:val="none"/>
              </w:rPr>
            </w:pPr>
            <w:r>
              <w:rPr>
                <w:color w:val="auto"/>
                <w:sz w:val="24"/>
                <w:highlight w:val="none"/>
              </w:rPr>
              <w:t>1</w:t>
            </w:r>
            <w:r>
              <w:rPr>
                <w:rFonts w:hint="eastAsia"/>
                <w:color w:val="auto"/>
                <w:sz w:val="24"/>
                <w:highlight w:val="none"/>
                <w:lang w:val="en-US" w:eastAsia="zh-CN"/>
              </w:rPr>
              <w:t>0</w:t>
            </w:r>
            <w:r>
              <w:rPr>
                <w:color w:val="auto"/>
                <w:sz w:val="24"/>
                <w:highlight w:val="none"/>
              </w:rPr>
              <w:t xml:space="preserve"> 分</w:t>
            </w:r>
          </w:p>
        </w:tc>
        <w:tc>
          <w:tcPr>
            <w:tcW w:w="6750" w:type="dxa"/>
          </w:tcPr>
          <w:p>
            <w:pPr>
              <w:pStyle w:val="26"/>
              <w:spacing w:before="205"/>
              <w:ind w:left="108"/>
              <w:rPr>
                <w:color w:val="auto"/>
                <w:sz w:val="24"/>
                <w:highlight w:val="none"/>
              </w:rPr>
            </w:pPr>
            <w:r>
              <w:rPr>
                <w:color w:val="auto"/>
                <w:sz w:val="24"/>
                <w:highlight w:val="none"/>
              </w:rPr>
              <w:t>供应商提供近三年（2018</w:t>
            </w:r>
            <w:r>
              <w:rPr>
                <w:color w:val="auto"/>
                <w:spacing w:val="-25"/>
                <w:sz w:val="24"/>
                <w:highlight w:val="none"/>
              </w:rPr>
              <w:t xml:space="preserve"> 年</w:t>
            </w:r>
            <w:r>
              <w:rPr>
                <w:rFonts w:hint="eastAsia"/>
                <w:color w:val="auto"/>
                <w:spacing w:val="-25"/>
                <w:sz w:val="24"/>
                <w:highlight w:val="none"/>
                <w:lang w:val="en-US" w:eastAsia="zh-CN"/>
              </w:rPr>
              <w:t xml:space="preserve"> 5</w:t>
            </w:r>
            <w:r>
              <w:rPr>
                <w:color w:val="auto"/>
                <w:spacing w:val="-26"/>
                <w:sz w:val="24"/>
                <w:highlight w:val="none"/>
              </w:rPr>
              <w:t xml:space="preserve">月 </w:t>
            </w:r>
            <w:r>
              <w:rPr>
                <w:rFonts w:hint="eastAsia"/>
                <w:color w:val="auto"/>
                <w:sz w:val="24"/>
                <w:highlight w:val="none"/>
                <w:lang w:val="en-US" w:eastAsia="zh-CN"/>
              </w:rPr>
              <w:t>1</w:t>
            </w:r>
            <w:r>
              <w:rPr>
                <w:color w:val="auto"/>
                <w:spacing w:val="-9"/>
                <w:sz w:val="24"/>
                <w:highlight w:val="none"/>
              </w:rPr>
              <w:t>日至今</w:t>
            </w:r>
            <w:r>
              <w:rPr>
                <w:color w:val="auto"/>
                <w:spacing w:val="-3"/>
                <w:sz w:val="24"/>
                <w:highlight w:val="none"/>
              </w:rPr>
              <w:t>）</w:t>
            </w:r>
            <w:r>
              <w:rPr>
                <w:color w:val="auto"/>
                <w:sz w:val="24"/>
                <w:highlight w:val="none"/>
              </w:rPr>
              <w:t>类似项目的业绩</w:t>
            </w:r>
          </w:p>
          <w:p>
            <w:pPr>
              <w:pStyle w:val="26"/>
              <w:spacing w:before="113"/>
              <w:ind w:left="108"/>
              <w:rPr>
                <w:color w:val="auto"/>
                <w:sz w:val="24"/>
                <w:highlight w:val="none"/>
              </w:rPr>
            </w:pPr>
            <w:r>
              <w:rPr>
                <w:color w:val="auto"/>
                <w:sz w:val="24"/>
                <w:highlight w:val="none"/>
              </w:rPr>
              <w:t>（以合同或中标通知书为准），</w:t>
            </w:r>
            <w:r>
              <w:rPr>
                <w:color w:val="auto"/>
                <w:spacing w:val="-3"/>
                <w:sz w:val="24"/>
                <w:highlight w:val="none"/>
              </w:rPr>
              <w:t xml:space="preserve">每提供一个类似项目得 </w:t>
            </w:r>
            <w:r>
              <w:rPr>
                <w:rFonts w:hint="eastAsia"/>
                <w:color w:val="auto"/>
                <w:sz w:val="24"/>
                <w:highlight w:val="none"/>
                <w:lang w:val="en-US" w:eastAsia="zh-CN"/>
              </w:rPr>
              <w:t>2</w:t>
            </w:r>
            <w:r>
              <w:rPr>
                <w:color w:val="auto"/>
                <w:spacing w:val="-12"/>
                <w:sz w:val="24"/>
                <w:highlight w:val="none"/>
              </w:rPr>
              <w:t xml:space="preserve"> 分，</w:t>
            </w:r>
          </w:p>
          <w:p>
            <w:pPr>
              <w:pStyle w:val="26"/>
              <w:spacing w:before="112"/>
              <w:ind w:left="108"/>
              <w:rPr>
                <w:color w:val="auto"/>
                <w:sz w:val="24"/>
                <w:highlight w:val="none"/>
              </w:rPr>
            </w:pPr>
            <w:r>
              <w:rPr>
                <w:color w:val="auto"/>
                <w:sz w:val="24"/>
                <w:highlight w:val="none"/>
              </w:rPr>
              <w:t xml:space="preserve">最高不超过 </w:t>
            </w:r>
            <w:r>
              <w:rPr>
                <w:rFonts w:hint="eastAsia"/>
                <w:color w:val="auto"/>
                <w:sz w:val="24"/>
                <w:highlight w:val="none"/>
                <w:lang w:val="en-US" w:eastAsia="zh-CN"/>
              </w:rPr>
              <w:t>10</w:t>
            </w:r>
            <w:r>
              <w:rPr>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trPr>
        <w:tc>
          <w:tcPr>
            <w:tcW w:w="948"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6"/>
              <w:rPr>
                <w:color w:val="auto"/>
                <w:sz w:val="22"/>
                <w:highlight w:val="none"/>
              </w:rPr>
            </w:pPr>
          </w:p>
          <w:p>
            <w:pPr>
              <w:pStyle w:val="26"/>
              <w:spacing w:before="1"/>
              <w:ind w:left="8"/>
              <w:jc w:val="center"/>
              <w:rPr>
                <w:color w:val="auto"/>
                <w:sz w:val="24"/>
                <w:highlight w:val="none"/>
              </w:rPr>
            </w:pPr>
            <w:r>
              <w:rPr>
                <w:color w:val="auto"/>
                <w:sz w:val="24"/>
                <w:highlight w:val="none"/>
              </w:rPr>
              <w:t>2</w:t>
            </w:r>
          </w:p>
        </w:tc>
        <w:tc>
          <w:tcPr>
            <w:tcW w:w="1224"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6"/>
              <w:rPr>
                <w:color w:val="auto"/>
                <w:sz w:val="22"/>
                <w:highlight w:val="none"/>
              </w:rPr>
            </w:pPr>
          </w:p>
          <w:p>
            <w:pPr>
              <w:pStyle w:val="26"/>
              <w:spacing w:before="1"/>
              <w:ind w:left="55" w:right="90"/>
              <w:jc w:val="center"/>
              <w:rPr>
                <w:color w:val="auto"/>
                <w:sz w:val="24"/>
                <w:highlight w:val="none"/>
              </w:rPr>
            </w:pPr>
            <w:r>
              <w:rPr>
                <w:color w:val="auto"/>
                <w:sz w:val="24"/>
                <w:highlight w:val="none"/>
              </w:rPr>
              <w:t>评标程序</w:t>
            </w:r>
          </w:p>
        </w:tc>
        <w:tc>
          <w:tcPr>
            <w:tcW w:w="7552" w:type="dxa"/>
            <w:gridSpan w:val="2"/>
          </w:tcPr>
          <w:p>
            <w:pPr>
              <w:pStyle w:val="26"/>
              <w:numPr>
                <w:ilvl w:val="0"/>
                <w:numId w:val="25"/>
              </w:numPr>
              <w:tabs>
                <w:tab w:val="left" w:pos="352"/>
              </w:tabs>
              <w:spacing w:before="90" w:after="0" w:line="328" w:lineRule="auto"/>
              <w:ind w:left="110" w:right="96" w:firstLine="0"/>
              <w:jc w:val="left"/>
              <w:rPr>
                <w:color w:val="auto"/>
                <w:sz w:val="24"/>
                <w:highlight w:val="none"/>
              </w:rPr>
            </w:pPr>
            <w:r>
              <w:rPr>
                <w:color w:val="auto"/>
                <w:spacing w:val="-12"/>
                <w:sz w:val="24"/>
                <w:highlight w:val="none"/>
              </w:rPr>
              <w:t>开标后，对投标单位进行资格评审，资格评审合格的响应文件再进行</w:t>
            </w:r>
            <w:r>
              <w:rPr>
                <w:color w:val="auto"/>
                <w:sz w:val="24"/>
                <w:highlight w:val="none"/>
              </w:rPr>
              <w:t>符合性评审。不合格的单位，不再对其进行后续评审与分值评定。</w:t>
            </w:r>
          </w:p>
          <w:p>
            <w:pPr>
              <w:pStyle w:val="26"/>
              <w:numPr>
                <w:ilvl w:val="0"/>
                <w:numId w:val="25"/>
              </w:numPr>
              <w:tabs>
                <w:tab w:val="left" w:pos="352"/>
              </w:tabs>
              <w:spacing w:before="0" w:after="0" w:line="328" w:lineRule="auto"/>
              <w:ind w:left="110" w:right="96" w:firstLine="0"/>
              <w:jc w:val="left"/>
              <w:rPr>
                <w:color w:val="auto"/>
                <w:sz w:val="24"/>
                <w:highlight w:val="none"/>
              </w:rPr>
            </w:pPr>
            <w:r>
              <w:rPr>
                <w:color w:val="auto"/>
                <w:spacing w:val="-7"/>
                <w:sz w:val="24"/>
                <w:highlight w:val="none"/>
              </w:rPr>
              <w:t>如经过对所有投标人的响应文件进行评审，有效投标不足三个使得投</w:t>
            </w:r>
            <w:r>
              <w:rPr>
                <w:color w:val="auto"/>
                <w:sz w:val="24"/>
                <w:highlight w:val="none"/>
              </w:rPr>
              <w:t>标明显缺乏竞争的，磋商小组可以否决全部投标。</w:t>
            </w:r>
          </w:p>
          <w:p>
            <w:pPr>
              <w:pStyle w:val="26"/>
              <w:numPr>
                <w:ilvl w:val="0"/>
                <w:numId w:val="25"/>
              </w:numPr>
              <w:tabs>
                <w:tab w:val="left" w:pos="352"/>
              </w:tabs>
              <w:spacing w:before="0" w:after="0" w:line="328" w:lineRule="auto"/>
              <w:ind w:left="110" w:right="-15" w:firstLine="0"/>
              <w:jc w:val="left"/>
              <w:rPr>
                <w:color w:val="auto"/>
                <w:sz w:val="24"/>
                <w:highlight w:val="none"/>
              </w:rPr>
            </w:pPr>
            <w:r>
              <w:rPr>
                <w:color w:val="auto"/>
                <w:sz w:val="24"/>
                <w:highlight w:val="none"/>
              </w:rPr>
              <w:t xml:space="preserve">磋商小组应当根据综合评分情况，按照评审得分由高到低顺序推荐3 </w:t>
            </w:r>
            <w:r>
              <w:rPr>
                <w:color w:val="auto"/>
                <w:spacing w:val="-1"/>
                <w:sz w:val="24"/>
                <w:highlight w:val="none"/>
              </w:rPr>
              <w:t xml:space="preserve">名以上成交候选投标人，并编写评审报告报采购人。评审得分相同的， </w:t>
            </w:r>
            <w:r>
              <w:rPr>
                <w:color w:val="auto"/>
                <w:spacing w:val="-6"/>
                <w:sz w:val="24"/>
                <w:highlight w:val="none"/>
              </w:rPr>
              <w:t>按照最后报价由低到高的顺序推荐。评审得分且最后报价相同的，按照</w:t>
            </w:r>
          </w:p>
          <w:p>
            <w:pPr>
              <w:pStyle w:val="26"/>
              <w:spacing w:line="304" w:lineRule="exact"/>
              <w:ind w:left="110"/>
              <w:rPr>
                <w:color w:val="auto"/>
                <w:sz w:val="24"/>
                <w:highlight w:val="none"/>
              </w:rPr>
            </w:pPr>
            <w:r>
              <w:rPr>
                <w:color w:val="auto"/>
                <w:sz w:val="24"/>
                <w:highlight w:val="none"/>
              </w:rPr>
              <w:t>磋商方案优劣顺序推荐。</w:t>
            </w:r>
          </w:p>
        </w:tc>
      </w:tr>
    </w:tbl>
    <w:p>
      <w:pPr>
        <w:pStyle w:val="7"/>
        <w:spacing w:before="8"/>
        <w:ind w:left="0"/>
        <w:rPr>
          <w:color w:val="auto"/>
          <w:sz w:val="5"/>
          <w:highlight w:val="none"/>
        </w:rPr>
      </w:pPr>
    </w:p>
    <w:p>
      <w:pPr>
        <w:pStyle w:val="6"/>
        <w:numPr>
          <w:ilvl w:val="1"/>
          <w:numId w:val="24"/>
        </w:numPr>
        <w:tabs>
          <w:tab w:val="left" w:pos="1321"/>
        </w:tabs>
        <w:spacing w:before="66" w:after="0" w:line="240" w:lineRule="auto"/>
        <w:ind w:left="1320" w:right="0" w:hanging="606"/>
        <w:jc w:val="left"/>
        <w:rPr>
          <w:color w:val="auto"/>
          <w:highlight w:val="none"/>
        </w:rPr>
      </w:pPr>
      <w:r>
        <w:rPr>
          <w:color w:val="auto"/>
          <w:highlight w:val="none"/>
        </w:rPr>
        <w:t>本项目落实政府采购政策</w:t>
      </w:r>
    </w:p>
    <w:p>
      <w:pPr>
        <w:spacing w:after="0" w:line="240" w:lineRule="auto"/>
        <w:jc w:val="left"/>
        <w:rPr>
          <w:color w:val="auto"/>
          <w:highlight w:val="none"/>
        </w:rPr>
        <w:sectPr>
          <w:pgSz w:w="11910" w:h="16840"/>
          <w:pgMar w:top="1120" w:right="900" w:bottom="1200" w:left="900" w:header="0" w:footer="928" w:gutter="0"/>
        </w:sectPr>
      </w:pPr>
    </w:p>
    <w:p>
      <w:pPr>
        <w:pStyle w:val="25"/>
        <w:numPr>
          <w:ilvl w:val="2"/>
          <w:numId w:val="24"/>
        </w:numPr>
        <w:tabs>
          <w:tab w:val="left" w:pos="1563"/>
        </w:tabs>
        <w:spacing w:before="38" w:after="0" w:line="240" w:lineRule="auto"/>
        <w:ind w:left="1562" w:right="0" w:hanging="848"/>
        <w:jc w:val="left"/>
        <w:rPr>
          <w:b/>
          <w:color w:val="auto"/>
          <w:sz w:val="24"/>
          <w:highlight w:val="none"/>
        </w:rPr>
      </w:pPr>
      <w:r>
        <w:rPr>
          <w:b/>
          <w:color w:val="auto"/>
          <w:sz w:val="24"/>
          <w:highlight w:val="none"/>
        </w:rPr>
        <w:t>投标企业政府采购政策</w:t>
      </w:r>
    </w:p>
    <w:p>
      <w:pPr>
        <w:pStyle w:val="7"/>
        <w:spacing w:before="173"/>
        <w:ind w:left="713"/>
        <w:rPr>
          <w:color w:val="auto"/>
          <w:highlight w:val="none"/>
        </w:rPr>
      </w:pPr>
      <w:r>
        <w:rPr>
          <w:color w:val="auto"/>
          <w:highlight w:val="none"/>
        </w:rPr>
        <w:t>（1）中小企业落实政府采购政策</w:t>
      </w:r>
    </w:p>
    <w:p>
      <w:pPr>
        <w:pStyle w:val="7"/>
        <w:spacing w:before="173" w:line="374" w:lineRule="auto"/>
        <w:ind w:right="236" w:firstLine="480"/>
        <w:rPr>
          <w:color w:val="auto"/>
          <w:highlight w:val="none"/>
        </w:rPr>
      </w:pPr>
      <w:r>
        <w:rPr>
          <w:color w:val="auto"/>
          <w:highlight w:val="none"/>
        </w:rPr>
        <w:t>①中小企业应符合工信部联企业[2011]300 号文件规定，采购活动执行《政府采购促进中小企业发展暂行办法》的规定。</w:t>
      </w:r>
    </w:p>
    <w:p>
      <w:pPr>
        <w:pStyle w:val="7"/>
        <w:spacing w:line="374" w:lineRule="auto"/>
        <w:ind w:right="240" w:firstLine="480"/>
        <w:rPr>
          <w:color w:val="auto"/>
          <w:highlight w:val="none"/>
        </w:rPr>
      </w:pPr>
      <w:r>
        <w:rPr>
          <w:color w:val="auto"/>
          <w:highlight w:val="none"/>
        </w:rPr>
        <w:t>②投标单位须提供中小企业管理部门开具的中小企业证明函，以此为依据享受政府采购政策。</w:t>
      </w:r>
    </w:p>
    <w:p>
      <w:pPr>
        <w:pStyle w:val="7"/>
        <w:spacing w:before="1" w:line="374" w:lineRule="auto"/>
        <w:ind w:right="239" w:firstLine="480"/>
        <w:jc w:val="both"/>
        <w:rPr>
          <w:color w:val="auto"/>
          <w:highlight w:val="none"/>
        </w:rPr>
      </w:pPr>
      <w:r>
        <w:rPr>
          <w:color w:val="auto"/>
          <w:highlight w:val="none"/>
        </w:rPr>
        <w:t>③投标单位出具《中小企业声明函》，同时还需有财务审计资质的单位出具的上一年度财务审计报告、从业人员证明（养老保险缴纳证明或劳动合同），由评委会审定，符合条件的企业享受政府采购政策，开标时提供原件备查。</w:t>
      </w:r>
    </w:p>
    <w:p>
      <w:pPr>
        <w:pStyle w:val="25"/>
        <w:numPr>
          <w:ilvl w:val="0"/>
          <w:numId w:val="26"/>
        </w:numPr>
        <w:tabs>
          <w:tab w:val="left" w:pos="1196"/>
        </w:tabs>
        <w:spacing w:before="1" w:after="0" w:line="374" w:lineRule="auto"/>
        <w:ind w:left="232" w:right="234" w:firstLine="360"/>
        <w:jc w:val="both"/>
        <w:rPr>
          <w:color w:val="auto"/>
          <w:sz w:val="24"/>
          <w:highlight w:val="none"/>
        </w:rPr>
      </w:pPr>
      <w:r>
        <w:rPr>
          <w:color w:val="auto"/>
          <w:spacing w:val="-1"/>
          <w:sz w:val="24"/>
          <w:highlight w:val="none"/>
        </w:rPr>
        <w:t>监狱和戒毒企业应符合《财政部、司法部关于政府采购支持监狱企业发展有关问题</w:t>
      </w:r>
      <w:r>
        <w:rPr>
          <w:color w:val="auto"/>
          <w:sz w:val="24"/>
          <w:highlight w:val="none"/>
        </w:rPr>
        <w:t>的通知》--财库[2014]68</w:t>
      </w:r>
      <w:r>
        <w:rPr>
          <w:color w:val="auto"/>
          <w:spacing w:val="-1"/>
          <w:sz w:val="24"/>
          <w:highlight w:val="none"/>
        </w:rPr>
        <w:t xml:space="preserve"> 号，并提供由省级以上监狱管理局、戒毒管理局(含新疆生产建设</w:t>
      </w:r>
      <w:r>
        <w:rPr>
          <w:color w:val="auto"/>
          <w:sz w:val="24"/>
          <w:highlight w:val="none"/>
        </w:rPr>
        <w:t>兵团)出具的属于监狱企业的证明，开标时提供原件备查。</w:t>
      </w:r>
    </w:p>
    <w:p>
      <w:pPr>
        <w:pStyle w:val="25"/>
        <w:numPr>
          <w:ilvl w:val="0"/>
          <w:numId w:val="26"/>
        </w:numPr>
        <w:tabs>
          <w:tab w:val="left" w:pos="1195"/>
        </w:tabs>
        <w:spacing w:before="1" w:after="0" w:line="240" w:lineRule="auto"/>
        <w:ind w:left="1194" w:right="0" w:hanging="602"/>
        <w:jc w:val="left"/>
        <w:rPr>
          <w:color w:val="auto"/>
          <w:sz w:val="24"/>
          <w:highlight w:val="none"/>
        </w:rPr>
      </w:pPr>
      <w:r>
        <w:rPr>
          <w:color w:val="auto"/>
          <w:sz w:val="24"/>
          <w:highlight w:val="none"/>
        </w:rPr>
        <w:t>投标单位应如实提供以上证明文件，如存在虚假应标，将取消其投标资格。</w:t>
      </w:r>
    </w:p>
    <w:p>
      <w:pPr>
        <w:pStyle w:val="6"/>
        <w:numPr>
          <w:ilvl w:val="2"/>
          <w:numId w:val="24"/>
        </w:numPr>
        <w:tabs>
          <w:tab w:val="left" w:pos="1563"/>
        </w:tabs>
        <w:spacing w:before="173" w:after="0" w:line="374" w:lineRule="auto"/>
        <w:ind w:left="838" w:right="7097" w:hanging="123"/>
        <w:jc w:val="left"/>
        <w:rPr>
          <w:color w:val="auto"/>
          <w:highlight w:val="none"/>
        </w:rPr>
      </w:pPr>
      <w:r>
        <w:rPr>
          <w:color w:val="auto"/>
          <w:spacing w:val="-3"/>
          <w:highlight w:val="none"/>
        </w:rPr>
        <w:t>价格优惠比例</w:t>
      </w:r>
      <w:r>
        <w:rPr>
          <w:color w:val="auto"/>
          <w:highlight w:val="none"/>
        </w:rPr>
        <w:t>投标企业优惠比例</w:t>
      </w:r>
    </w:p>
    <w:p>
      <w:pPr>
        <w:pStyle w:val="7"/>
        <w:ind w:left="703"/>
        <w:rPr>
          <w:color w:val="auto"/>
          <w:highlight w:val="none"/>
        </w:rPr>
      </w:pPr>
      <w:r>
        <w:rPr>
          <w:color w:val="auto"/>
          <w:highlight w:val="none"/>
        </w:rPr>
        <w:t>符合磋商采购文件规定的小微企业、监狱企业优惠条件的投标单位，价格给予6</w:t>
      </w:r>
      <w:r>
        <w:rPr>
          <w:rFonts w:hint="eastAsia"/>
          <w:color w:val="auto"/>
          <w:highlight w:val="none"/>
          <w:lang w:val="en-US" w:eastAsia="zh-CN"/>
        </w:rPr>
        <w:t>%</w:t>
      </w:r>
      <w:r>
        <w:rPr>
          <w:color w:val="auto"/>
          <w:highlight w:val="none"/>
        </w:rPr>
        <w:t>的扣除</w:t>
      </w:r>
    </w:p>
    <w:p>
      <w:pPr>
        <w:pStyle w:val="7"/>
        <w:spacing w:before="173"/>
        <w:rPr>
          <w:color w:val="auto"/>
          <w:highlight w:val="none"/>
        </w:rPr>
      </w:pPr>
      <w:r>
        <w:rPr>
          <w:color w:val="auto"/>
          <w:highlight w:val="none"/>
        </w:rPr>
        <w:t>（不重复优惠，最高为</w:t>
      </w:r>
      <w:r>
        <w:rPr>
          <w:rFonts w:hint="eastAsia"/>
          <w:color w:val="auto"/>
          <w:highlight w:val="none"/>
          <w:lang w:val="en-US" w:eastAsia="zh-CN"/>
        </w:rPr>
        <w:t>6%</w:t>
      </w:r>
      <w:r>
        <w:rPr>
          <w:color w:val="auto"/>
          <w:highlight w:val="none"/>
        </w:rPr>
        <w:t>），用扣除后的价格参与评审。</w:t>
      </w:r>
    </w:p>
    <w:p>
      <w:pPr>
        <w:pStyle w:val="25"/>
        <w:numPr>
          <w:ilvl w:val="0"/>
          <w:numId w:val="27"/>
        </w:numPr>
        <w:tabs>
          <w:tab w:val="left" w:pos="999"/>
        </w:tabs>
        <w:spacing w:before="173" w:after="0" w:line="374" w:lineRule="auto"/>
        <w:ind w:left="232" w:right="110" w:firstLine="401"/>
        <w:jc w:val="left"/>
        <w:rPr>
          <w:color w:val="auto"/>
          <w:sz w:val="22"/>
          <w:highlight w:val="none"/>
        </w:rPr>
      </w:pPr>
      <w:r>
        <w:rPr>
          <w:color w:val="auto"/>
          <w:spacing w:val="-4"/>
          <w:sz w:val="24"/>
          <w:highlight w:val="none"/>
        </w:rPr>
        <w:t xml:space="preserve">磋商小组应当根据综合评分情况，按照评审得分由高到低顺序推荐 </w:t>
      </w:r>
      <w:r>
        <w:rPr>
          <w:color w:val="auto"/>
          <w:sz w:val="24"/>
          <w:highlight w:val="none"/>
        </w:rPr>
        <w:t>3</w:t>
      </w:r>
      <w:r>
        <w:rPr>
          <w:color w:val="auto"/>
          <w:spacing w:val="-8"/>
          <w:sz w:val="24"/>
          <w:highlight w:val="none"/>
        </w:rPr>
        <w:t xml:space="preserve"> 名以上成交候选</w:t>
      </w:r>
      <w:r>
        <w:rPr>
          <w:color w:val="auto"/>
          <w:spacing w:val="-12"/>
          <w:sz w:val="24"/>
          <w:highlight w:val="none"/>
        </w:rPr>
        <w:t>投标单位，并编写评审报告报采购人。评审得分相同的，按照最终报价由低到高的顺序推荐。</w:t>
      </w:r>
      <w:r>
        <w:rPr>
          <w:color w:val="auto"/>
          <w:sz w:val="24"/>
          <w:highlight w:val="none"/>
        </w:rPr>
        <w:t>评审得分且最终报价相同的，按照施工组织设计优劣顺序推荐。</w:t>
      </w:r>
    </w:p>
    <w:p>
      <w:pPr>
        <w:pStyle w:val="6"/>
        <w:numPr>
          <w:ilvl w:val="0"/>
          <w:numId w:val="27"/>
        </w:numPr>
        <w:tabs>
          <w:tab w:val="left" w:pos="1100"/>
        </w:tabs>
        <w:spacing w:before="0" w:after="0" w:line="240" w:lineRule="auto"/>
        <w:ind w:left="1099" w:right="0" w:hanging="486"/>
        <w:jc w:val="left"/>
        <w:rPr>
          <w:color w:val="auto"/>
          <w:highlight w:val="none"/>
        </w:rPr>
      </w:pPr>
      <w:r>
        <w:rPr>
          <w:color w:val="auto"/>
          <w:highlight w:val="none"/>
        </w:rPr>
        <w:t>确定成交单位</w:t>
      </w:r>
    </w:p>
    <w:p>
      <w:pPr>
        <w:pStyle w:val="7"/>
        <w:spacing w:before="173" w:line="374" w:lineRule="auto"/>
        <w:ind w:right="240" w:firstLine="480"/>
        <w:rPr>
          <w:color w:val="auto"/>
          <w:highlight w:val="none"/>
        </w:rPr>
      </w:pPr>
      <w:r>
        <w:rPr>
          <w:color w:val="auto"/>
          <w:highlight w:val="none"/>
        </w:rPr>
        <w:t>采购人按照磋商小组推荐的成交候选人排名顺序确定成交单位。采购代理机构将成交结果通知所有未成交的投标单位。</w:t>
      </w:r>
    </w:p>
    <w:p>
      <w:pPr>
        <w:pStyle w:val="7"/>
        <w:ind w:left="0"/>
        <w:rPr>
          <w:color w:val="auto"/>
          <w:highlight w:val="none"/>
        </w:rPr>
      </w:pPr>
    </w:p>
    <w:p>
      <w:pPr>
        <w:pStyle w:val="7"/>
        <w:spacing w:before="9"/>
        <w:ind w:left="0"/>
        <w:rPr>
          <w:color w:val="auto"/>
          <w:sz w:val="19"/>
          <w:highlight w:val="none"/>
        </w:rPr>
      </w:pPr>
    </w:p>
    <w:p>
      <w:pPr>
        <w:pStyle w:val="4"/>
        <w:rPr>
          <w:color w:val="auto"/>
          <w:highlight w:val="none"/>
        </w:rPr>
      </w:pPr>
      <w:bookmarkStart w:id="5" w:name="六、授予合同"/>
      <w:bookmarkEnd w:id="5"/>
      <w:r>
        <w:rPr>
          <w:color w:val="auto"/>
          <w:highlight w:val="none"/>
        </w:rPr>
        <w:t>六、授予合同</w:t>
      </w:r>
    </w:p>
    <w:p>
      <w:pPr>
        <w:pStyle w:val="7"/>
        <w:spacing w:before="10"/>
        <w:ind w:left="0"/>
        <w:rPr>
          <w:b/>
          <w:color w:val="auto"/>
          <w:sz w:val="23"/>
          <w:highlight w:val="none"/>
        </w:rPr>
      </w:pPr>
    </w:p>
    <w:p>
      <w:pPr>
        <w:pStyle w:val="6"/>
        <w:numPr>
          <w:ilvl w:val="0"/>
          <w:numId w:val="27"/>
        </w:numPr>
        <w:tabs>
          <w:tab w:val="left" w:pos="1201"/>
        </w:tabs>
        <w:spacing w:before="0" w:after="0" w:line="240" w:lineRule="auto"/>
        <w:ind w:left="1200" w:right="0" w:hanging="486"/>
        <w:jc w:val="left"/>
        <w:rPr>
          <w:color w:val="auto"/>
          <w:sz w:val="22"/>
          <w:highlight w:val="none"/>
        </w:rPr>
      </w:pPr>
      <w:r>
        <w:rPr>
          <w:color w:val="auto"/>
          <w:highlight w:val="none"/>
        </w:rPr>
        <w:t>成交通知书</w:t>
      </w:r>
    </w:p>
    <w:p>
      <w:pPr>
        <w:pStyle w:val="25"/>
        <w:numPr>
          <w:ilvl w:val="1"/>
          <w:numId w:val="27"/>
        </w:numPr>
        <w:tabs>
          <w:tab w:val="left" w:pos="1314"/>
        </w:tabs>
        <w:spacing w:before="173" w:after="0" w:line="374" w:lineRule="auto"/>
        <w:ind w:left="232" w:right="232" w:firstLine="480"/>
        <w:jc w:val="left"/>
        <w:rPr>
          <w:color w:val="auto"/>
          <w:sz w:val="24"/>
          <w:highlight w:val="none"/>
        </w:rPr>
      </w:pPr>
      <w:r>
        <w:rPr>
          <w:color w:val="auto"/>
          <w:spacing w:val="-5"/>
          <w:sz w:val="24"/>
          <w:highlight w:val="none"/>
        </w:rPr>
        <w:t>采购代理机构在收到采购人的成交定标复函后，按规定时间向成交投标单位发出成</w:t>
      </w:r>
      <w:r>
        <w:rPr>
          <w:color w:val="auto"/>
          <w:sz w:val="24"/>
          <w:highlight w:val="none"/>
        </w:rPr>
        <w:t>交通知书。</w:t>
      </w:r>
    </w:p>
    <w:p>
      <w:pPr>
        <w:pStyle w:val="25"/>
        <w:numPr>
          <w:ilvl w:val="1"/>
          <w:numId w:val="27"/>
        </w:numPr>
        <w:tabs>
          <w:tab w:val="left" w:pos="1314"/>
        </w:tabs>
        <w:spacing w:before="0" w:after="0" w:line="240" w:lineRule="auto"/>
        <w:ind w:left="1313" w:right="0" w:hanging="601"/>
        <w:jc w:val="left"/>
        <w:rPr>
          <w:color w:val="auto"/>
          <w:sz w:val="24"/>
          <w:highlight w:val="none"/>
        </w:rPr>
      </w:pPr>
      <w:r>
        <w:rPr>
          <w:color w:val="auto"/>
          <w:sz w:val="24"/>
          <w:highlight w:val="none"/>
        </w:rPr>
        <w:t>成交通知书是合同的组成部分。</w:t>
      </w:r>
    </w:p>
    <w:p>
      <w:pPr>
        <w:spacing w:after="0" w:line="240" w:lineRule="auto"/>
        <w:jc w:val="left"/>
        <w:rPr>
          <w:color w:val="auto"/>
          <w:sz w:val="24"/>
          <w:highlight w:val="none"/>
        </w:rPr>
        <w:sectPr>
          <w:pgSz w:w="11910" w:h="16840"/>
          <w:pgMar w:top="1220" w:right="900" w:bottom="1200" w:left="900" w:header="0" w:footer="928" w:gutter="0"/>
        </w:sectPr>
      </w:pPr>
    </w:p>
    <w:p>
      <w:pPr>
        <w:pStyle w:val="25"/>
        <w:numPr>
          <w:ilvl w:val="0"/>
          <w:numId w:val="27"/>
        </w:numPr>
        <w:tabs>
          <w:tab w:val="left" w:pos="1195"/>
        </w:tabs>
        <w:spacing w:before="38" w:after="0" w:line="240" w:lineRule="auto"/>
        <w:ind w:left="1194" w:right="0" w:hanging="482"/>
        <w:jc w:val="left"/>
        <w:rPr>
          <w:color w:val="auto"/>
          <w:sz w:val="22"/>
          <w:highlight w:val="none"/>
        </w:rPr>
      </w:pPr>
      <w:r>
        <w:rPr>
          <w:color w:val="auto"/>
          <w:sz w:val="24"/>
          <w:highlight w:val="none"/>
        </w:rPr>
        <w:t>中标服务费</w:t>
      </w:r>
    </w:p>
    <w:p>
      <w:pPr>
        <w:pStyle w:val="25"/>
        <w:numPr>
          <w:ilvl w:val="1"/>
          <w:numId w:val="27"/>
        </w:numPr>
        <w:tabs>
          <w:tab w:val="left" w:pos="1254"/>
        </w:tabs>
        <w:spacing w:before="173" w:after="0" w:line="240" w:lineRule="auto"/>
        <w:ind w:left="1253" w:right="0" w:hanging="541"/>
        <w:jc w:val="left"/>
        <w:rPr>
          <w:color w:val="auto"/>
          <w:sz w:val="24"/>
          <w:highlight w:val="none"/>
        </w:rPr>
      </w:pPr>
      <w:r>
        <w:rPr>
          <w:color w:val="auto"/>
          <w:sz w:val="24"/>
          <w:highlight w:val="none"/>
        </w:rPr>
        <w:t>采购代理服务费/工程量清单及最高限价编制费的数额及缴纳方式：</w:t>
      </w:r>
    </w:p>
    <w:p>
      <w:pPr>
        <w:pStyle w:val="7"/>
        <w:spacing w:before="173" w:line="374" w:lineRule="auto"/>
        <w:ind w:right="240" w:firstLine="480"/>
        <w:rPr>
          <w:color w:val="auto"/>
          <w:highlight w:val="none"/>
        </w:rPr>
      </w:pPr>
      <w:r>
        <w:rPr>
          <w:color w:val="auto"/>
          <w:highlight w:val="none"/>
        </w:rPr>
        <w:t>①中标供应商在领取《中标通知书》之前，应向</w:t>
      </w:r>
      <w:r>
        <w:rPr>
          <w:rFonts w:hint="eastAsia"/>
          <w:color w:val="auto"/>
          <w:highlight w:val="none"/>
          <w:lang w:eastAsia="zh-CN"/>
        </w:rPr>
        <w:t>鸿利项目管理有限公司</w:t>
      </w:r>
      <w:r>
        <w:rPr>
          <w:color w:val="auto"/>
          <w:highlight w:val="none"/>
        </w:rPr>
        <w:t>缴纳采购代理服务费。</w:t>
      </w:r>
    </w:p>
    <w:p>
      <w:pPr>
        <w:pStyle w:val="7"/>
        <w:spacing w:line="374" w:lineRule="auto"/>
        <w:ind w:right="231" w:firstLine="480"/>
        <w:jc w:val="both"/>
        <w:rPr>
          <w:color w:val="auto"/>
          <w:highlight w:val="none"/>
        </w:rPr>
      </w:pPr>
      <w:r>
        <w:rPr>
          <w:color w:val="auto"/>
          <w:highlight w:val="none"/>
        </w:rPr>
        <w:t>②采购代理服务费/</w:t>
      </w:r>
      <w:r>
        <w:rPr>
          <w:color w:val="auto"/>
          <w:spacing w:val="-7"/>
          <w:highlight w:val="none"/>
        </w:rPr>
        <w:t>成交服务费按照原国家计委《招标代理服务收费管理暂行办法》 (计</w:t>
      </w:r>
      <w:r>
        <w:rPr>
          <w:color w:val="auto"/>
          <w:spacing w:val="4"/>
          <w:highlight w:val="none"/>
        </w:rPr>
        <w:t>价格</w:t>
      </w:r>
      <w:r>
        <w:rPr>
          <w:color w:val="auto"/>
          <w:highlight w:val="none"/>
        </w:rPr>
        <w:t>[2002]1980</w:t>
      </w:r>
      <w:r>
        <w:rPr>
          <w:color w:val="auto"/>
          <w:spacing w:val="3"/>
          <w:highlight w:val="none"/>
        </w:rPr>
        <w:t xml:space="preserve"> 号) 号文件计收</w:t>
      </w:r>
      <w:r>
        <w:rPr>
          <w:color w:val="auto"/>
          <w:highlight w:val="none"/>
        </w:rPr>
        <w:t>。</w:t>
      </w:r>
    </w:p>
    <w:p>
      <w:pPr>
        <w:pStyle w:val="7"/>
        <w:spacing w:before="1" w:line="374" w:lineRule="auto"/>
        <w:ind w:right="235" w:firstLine="480"/>
        <w:rPr>
          <w:color w:val="auto"/>
          <w:highlight w:val="none"/>
        </w:rPr>
      </w:pPr>
      <w:r>
        <w:rPr>
          <w:color w:val="auto"/>
          <w:highlight w:val="none"/>
        </w:rPr>
        <w:t>③采购代理服务费/</w:t>
      </w:r>
      <w:r>
        <w:rPr>
          <w:color w:val="auto"/>
          <w:spacing w:val="-6"/>
          <w:highlight w:val="none"/>
        </w:rPr>
        <w:t>工程量清单及最高限价编制费，可以采取现金、支票、银行汇票、电</w:t>
      </w:r>
      <w:r>
        <w:rPr>
          <w:color w:val="auto"/>
          <w:highlight w:val="none"/>
        </w:rPr>
        <w:t>汇、网银等方式缴纳。</w:t>
      </w:r>
    </w:p>
    <w:p>
      <w:pPr>
        <w:pStyle w:val="6"/>
        <w:numPr>
          <w:ilvl w:val="0"/>
          <w:numId w:val="27"/>
        </w:numPr>
        <w:tabs>
          <w:tab w:val="left" w:pos="1201"/>
        </w:tabs>
        <w:spacing w:before="1" w:after="0" w:line="240" w:lineRule="auto"/>
        <w:ind w:left="1200" w:right="0" w:hanging="486"/>
        <w:jc w:val="left"/>
        <w:rPr>
          <w:color w:val="auto"/>
          <w:sz w:val="22"/>
          <w:highlight w:val="none"/>
        </w:rPr>
      </w:pPr>
      <w:r>
        <w:rPr>
          <w:color w:val="auto"/>
          <w:w w:val="95"/>
          <w:highlight w:val="none"/>
        </w:rPr>
        <w:t>签订合同</w:t>
      </w:r>
    </w:p>
    <w:p>
      <w:pPr>
        <w:pStyle w:val="25"/>
        <w:numPr>
          <w:ilvl w:val="1"/>
          <w:numId w:val="27"/>
        </w:numPr>
        <w:tabs>
          <w:tab w:val="left" w:pos="1314"/>
        </w:tabs>
        <w:spacing w:before="173" w:after="0" w:line="240" w:lineRule="auto"/>
        <w:ind w:left="1313" w:right="0" w:hanging="601"/>
        <w:jc w:val="both"/>
        <w:rPr>
          <w:color w:val="auto"/>
          <w:sz w:val="24"/>
          <w:highlight w:val="none"/>
        </w:rPr>
      </w:pPr>
      <w:r>
        <w:rPr>
          <w:color w:val="auto"/>
          <w:spacing w:val="-5"/>
          <w:sz w:val="24"/>
          <w:highlight w:val="none"/>
        </w:rPr>
        <w:t xml:space="preserve">中标人在领取中标通知书的 </w:t>
      </w:r>
      <w:r>
        <w:rPr>
          <w:color w:val="auto"/>
          <w:sz w:val="24"/>
          <w:highlight w:val="none"/>
        </w:rPr>
        <w:t>30</w:t>
      </w:r>
      <w:r>
        <w:rPr>
          <w:color w:val="auto"/>
          <w:spacing w:val="-8"/>
          <w:sz w:val="24"/>
          <w:highlight w:val="none"/>
        </w:rPr>
        <w:t xml:space="preserve"> 天内与采购人签订合同。</w:t>
      </w:r>
    </w:p>
    <w:p>
      <w:pPr>
        <w:pStyle w:val="25"/>
        <w:numPr>
          <w:ilvl w:val="1"/>
          <w:numId w:val="27"/>
        </w:numPr>
        <w:tabs>
          <w:tab w:val="left" w:pos="1314"/>
        </w:tabs>
        <w:spacing w:before="172" w:after="0" w:line="374" w:lineRule="auto"/>
        <w:ind w:left="232" w:right="231" w:firstLine="480"/>
        <w:jc w:val="both"/>
        <w:rPr>
          <w:color w:val="auto"/>
          <w:sz w:val="24"/>
          <w:highlight w:val="none"/>
        </w:rPr>
      </w:pPr>
      <w:r>
        <w:rPr>
          <w:color w:val="auto"/>
          <w:spacing w:val="-5"/>
          <w:sz w:val="24"/>
          <w:highlight w:val="none"/>
        </w:rPr>
        <w:t xml:space="preserve">如果成交人没有按照上述第 </w:t>
      </w:r>
      <w:r>
        <w:rPr>
          <w:color w:val="auto"/>
          <w:sz w:val="24"/>
          <w:highlight w:val="none"/>
        </w:rPr>
        <w:t>25</w:t>
      </w:r>
      <w:r>
        <w:rPr>
          <w:color w:val="auto"/>
          <w:spacing w:val="-24"/>
          <w:sz w:val="24"/>
          <w:highlight w:val="none"/>
        </w:rPr>
        <w:t xml:space="preserve"> 条或第 </w:t>
      </w:r>
      <w:r>
        <w:rPr>
          <w:color w:val="auto"/>
          <w:sz w:val="24"/>
          <w:highlight w:val="none"/>
        </w:rPr>
        <w:t>26.1</w:t>
      </w:r>
      <w:r>
        <w:rPr>
          <w:color w:val="auto"/>
          <w:spacing w:val="-14"/>
          <w:sz w:val="24"/>
          <w:highlight w:val="none"/>
        </w:rPr>
        <w:t xml:space="preserve"> 条规定执行，招标采购单位将有充分理</w:t>
      </w:r>
      <w:r>
        <w:rPr>
          <w:color w:val="auto"/>
          <w:sz w:val="24"/>
          <w:highlight w:val="none"/>
        </w:rPr>
        <w:t>由取消该成交决定，并不予退还其磋商保证金。在此情况下，招标采购单位可将合同授予综合得分排序名列下一个的投标单位，或重新组织采购。</w:t>
      </w:r>
    </w:p>
    <w:p>
      <w:pPr>
        <w:pStyle w:val="6"/>
        <w:numPr>
          <w:ilvl w:val="0"/>
          <w:numId w:val="27"/>
        </w:numPr>
        <w:tabs>
          <w:tab w:val="left" w:pos="1201"/>
        </w:tabs>
        <w:spacing w:before="1" w:after="0" w:line="240" w:lineRule="auto"/>
        <w:ind w:left="1200" w:right="0" w:hanging="486"/>
        <w:jc w:val="left"/>
        <w:rPr>
          <w:color w:val="auto"/>
          <w:sz w:val="22"/>
          <w:highlight w:val="none"/>
        </w:rPr>
      </w:pPr>
      <w:r>
        <w:rPr>
          <w:color w:val="auto"/>
          <w:highlight w:val="none"/>
        </w:rPr>
        <w:t>拒绝商业贿赂</w:t>
      </w:r>
    </w:p>
    <w:p>
      <w:pPr>
        <w:pStyle w:val="7"/>
        <w:spacing w:before="173" w:line="374" w:lineRule="auto"/>
        <w:ind w:right="240" w:firstLine="480"/>
        <w:rPr>
          <w:color w:val="auto"/>
          <w:highlight w:val="none"/>
        </w:rPr>
      </w:pPr>
      <w:r>
        <w:rPr>
          <w:color w:val="auto"/>
          <w:highlight w:val="none"/>
        </w:rPr>
        <w:t>投标单位必须填写一份《拒绝政府采购领域商业贿赂承诺书》（格式见第五章附件）编制在响应文件中，同时保证响应文件正、副本中都有且一致。</w:t>
      </w:r>
    </w:p>
    <w:p>
      <w:pPr>
        <w:pStyle w:val="7"/>
        <w:ind w:left="0"/>
        <w:rPr>
          <w:color w:val="auto"/>
          <w:highlight w:val="none"/>
        </w:rPr>
      </w:pPr>
    </w:p>
    <w:p>
      <w:pPr>
        <w:pStyle w:val="7"/>
        <w:spacing w:before="5"/>
        <w:ind w:left="0"/>
        <w:rPr>
          <w:color w:val="auto"/>
          <w:sz w:val="21"/>
          <w:highlight w:val="none"/>
        </w:rPr>
      </w:pPr>
    </w:p>
    <w:p>
      <w:pPr>
        <w:pStyle w:val="4"/>
        <w:ind w:left="1308" w:right="859"/>
        <w:rPr>
          <w:color w:val="auto"/>
          <w:highlight w:val="none"/>
        </w:rPr>
      </w:pPr>
      <w:r>
        <w:rPr>
          <w:color w:val="auto"/>
          <w:highlight w:val="none"/>
        </w:rPr>
        <w:t>七、质疑及投诉</w:t>
      </w:r>
    </w:p>
    <w:p>
      <w:pPr>
        <w:pStyle w:val="25"/>
        <w:numPr>
          <w:ilvl w:val="0"/>
          <w:numId w:val="28"/>
        </w:numPr>
        <w:tabs>
          <w:tab w:val="left" w:pos="1315"/>
        </w:tabs>
        <w:spacing w:before="160" w:after="0" w:line="374" w:lineRule="auto"/>
        <w:ind w:left="232" w:right="232" w:firstLine="480"/>
        <w:jc w:val="both"/>
        <w:rPr>
          <w:color w:val="auto"/>
          <w:sz w:val="24"/>
          <w:highlight w:val="none"/>
        </w:rPr>
      </w:pPr>
      <w:r>
        <w:rPr>
          <w:color w:val="auto"/>
          <w:spacing w:val="-6"/>
          <w:sz w:val="24"/>
          <w:highlight w:val="none"/>
        </w:rPr>
        <w:t xml:space="preserve">供应商认为采购文件、采购过程、中标或者成交结果使自己的权益受到损害的， 可以在知道或者应知其权益受到损害之日起 </w:t>
      </w:r>
      <w:r>
        <w:rPr>
          <w:color w:val="auto"/>
          <w:sz w:val="24"/>
          <w:highlight w:val="none"/>
        </w:rPr>
        <w:t>7</w:t>
      </w:r>
      <w:r>
        <w:rPr>
          <w:color w:val="auto"/>
          <w:spacing w:val="-7"/>
          <w:sz w:val="24"/>
          <w:highlight w:val="none"/>
        </w:rPr>
        <w:t xml:space="preserve"> 个工作日内，以书面形式向招标人、招标代理</w:t>
      </w:r>
      <w:r>
        <w:rPr>
          <w:color w:val="auto"/>
          <w:spacing w:val="-4"/>
          <w:sz w:val="24"/>
          <w:highlight w:val="none"/>
        </w:rPr>
        <w:t>机构提出质疑。针对同一采购程序环节的质疑应在法定质疑期内一次性提出。</w:t>
      </w:r>
    </w:p>
    <w:p>
      <w:pPr>
        <w:pStyle w:val="25"/>
        <w:numPr>
          <w:ilvl w:val="0"/>
          <w:numId w:val="28"/>
        </w:numPr>
        <w:tabs>
          <w:tab w:val="left" w:pos="1315"/>
        </w:tabs>
        <w:spacing w:before="1" w:after="0" w:line="240" w:lineRule="auto"/>
        <w:ind w:left="1314" w:right="0" w:hanging="602"/>
        <w:jc w:val="left"/>
        <w:rPr>
          <w:color w:val="auto"/>
          <w:sz w:val="24"/>
          <w:highlight w:val="none"/>
        </w:rPr>
      </w:pPr>
      <w:r>
        <w:rPr>
          <w:color w:val="auto"/>
          <w:sz w:val="24"/>
          <w:highlight w:val="none"/>
        </w:rPr>
        <w:t>提出质疑的供应商应当是参与本项目采购活动的供应商。</w:t>
      </w:r>
    </w:p>
    <w:p>
      <w:pPr>
        <w:pStyle w:val="25"/>
        <w:numPr>
          <w:ilvl w:val="0"/>
          <w:numId w:val="28"/>
        </w:numPr>
        <w:tabs>
          <w:tab w:val="left" w:pos="1315"/>
        </w:tabs>
        <w:spacing w:before="173" w:after="0" w:line="374" w:lineRule="auto"/>
        <w:ind w:left="232" w:right="230" w:firstLine="480"/>
        <w:jc w:val="both"/>
        <w:rPr>
          <w:color w:val="auto"/>
          <w:sz w:val="24"/>
          <w:highlight w:val="none"/>
        </w:rPr>
      </w:pPr>
      <w:r>
        <w:rPr>
          <w:color w:val="auto"/>
          <w:spacing w:val="-3"/>
          <w:sz w:val="24"/>
          <w:highlight w:val="none"/>
        </w:rPr>
        <w:t>潜在供应商已依法获取其可质疑的采购文件的，可以对该文件提出质疑。对采购</w:t>
      </w:r>
      <w:r>
        <w:rPr>
          <w:color w:val="auto"/>
          <w:spacing w:val="-4"/>
          <w:sz w:val="24"/>
          <w:highlight w:val="none"/>
        </w:rPr>
        <w:t>文件提出质疑的，应当在获取采购文件</w:t>
      </w:r>
      <w:r>
        <w:rPr>
          <w:color w:val="auto"/>
          <w:sz w:val="24"/>
          <w:highlight w:val="none"/>
        </w:rPr>
        <w:t>（以供应商填写报名登记表的时间为准）</w:t>
      </w:r>
      <w:r>
        <w:rPr>
          <w:color w:val="auto"/>
          <w:spacing w:val="-20"/>
          <w:sz w:val="24"/>
          <w:highlight w:val="none"/>
        </w:rPr>
        <w:t xml:space="preserve">起 </w:t>
      </w:r>
      <w:r>
        <w:rPr>
          <w:color w:val="auto"/>
          <w:sz w:val="24"/>
          <w:highlight w:val="none"/>
        </w:rPr>
        <w:t>7</w:t>
      </w:r>
      <w:r>
        <w:rPr>
          <w:color w:val="auto"/>
          <w:spacing w:val="-11"/>
          <w:sz w:val="24"/>
          <w:highlight w:val="none"/>
        </w:rPr>
        <w:t xml:space="preserve"> 个工作</w:t>
      </w:r>
      <w:r>
        <w:rPr>
          <w:color w:val="auto"/>
          <w:spacing w:val="-4"/>
          <w:sz w:val="24"/>
          <w:highlight w:val="none"/>
        </w:rPr>
        <w:t>日内提出。</w:t>
      </w:r>
    </w:p>
    <w:p>
      <w:pPr>
        <w:pStyle w:val="25"/>
        <w:numPr>
          <w:ilvl w:val="0"/>
          <w:numId w:val="28"/>
        </w:numPr>
        <w:tabs>
          <w:tab w:val="left" w:pos="1315"/>
        </w:tabs>
        <w:spacing w:before="1" w:after="0" w:line="240" w:lineRule="auto"/>
        <w:ind w:left="1314" w:right="0" w:hanging="602"/>
        <w:jc w:val="left"/>
        <w:rPr>
          <w:color w:val="auto"/>
          <w:sz w:val="24"/>
          <w:highlight w:val="none"/>
        </w:rPr>
      </w:pPr>
      <w:r>
        <w:rPr>
          <w:color w:val="auto"/>
          <w:sz w:val="24"/>
          <w:highlight w:val="none"/>
        </w:rPr>
        <w:t>供应商提出质疑应当提交质疑函和必要的证明材料，质疑函应当包括下列内容：</w:t>
      </w:r>
    </w:p>
    <w:p>
      <w:pPr>
        <w:pStyle w:val="7"/>
        <w:spacing w:before="173"/>
        <w:ind w:left="953"/>
        <w:rPr>
          <w:color w:val="auto"/>
          <w:highlight w:val="none"/>
        </w:rPr>
      </w:pPr>
      <w:r>
        <w:rPr>
          <w:color w:val="auto"/>
          <w:highlight w:val="none"/>
        </w:rPr>
        <w:t>① 供应商的姓名或者名称、地址、邮编、联系人及联系电话；</w:t>
      </w:r>
    </w:p>
    <w:p>
      <w:pPr>
        <w:pStyle w:val="7"/>
        <w:spacing w:before="172"/>
        <w:ind w:left="953"/>
        <w:rPr>
          <w:color w:val="auto"/>
          <w:highlight w:val="none"/>
        </w:rPr>
      </w:pPr>
      <w:r>
        <w:rPr>
          <w:color w:val="auto"/>
          <w:highlight w:val="none"/>
        </w:rPr>
        <w:t>② 质疑项目的名称、编号；</w:t>
      </w:r>
    </w:p>
    <w:p>
      <w:pPr>
        <w:spacing w:after="0"/>
        <w:rPr>
          <w:color w:val="auto"/>
          <w:highlight w:val="none"/>
        </w:rPr>
        <w:sectPr>
          <w:pgSz w:w="11910" w:h="16840"/>
          <w:pgMar w:top="1220" w:right="900" w:bottom="1200" w:left="900" w:header="0" w:footer="928" w:gutter="0"/>
        </w:sectPr>
      </w:pPr>
    </w:p>
    <w:p>
      <w:pPr>
        <w:pStyle w:val="7"/>
        <w:spacing w:before="38"/>
        <w:ind w:left="953"/>
        <w:rPr>
          <w:color w:val="auto"/>
          <w:highlight w:val="none"/>
        </w:rPr>
      </w:pPr>
      <w:r>
        <w:rPr>
          <w:color w:val="auto"/>
          <w:highlight w:val="none"/>
        </w:rPr>
        <w:t>③ 具体、明确的质疑事项和与质疑事项相关的请求；</w:t>
      </w:r>
    </w:p>
    <w:p>
      <w:pPr>
        <w:pStyle w:val="7"/>
        <w:spacing w:before="173"/>
        <w:ind w:left="953"/>
        <w:rPr>
          <w:color w:val="auto"/>
          <w:highlight w:val="none"/>
        </w:rPr>
      </w:pPr>
      <w:r>
        <w:rPr>
          <w:color w:val="auto"/>
          <w:highlight w:val="none"/>
        </w:rPr>
        <w:t>④ 事实依据；</w:t>
      </w:r>
    </w:p>
    <w:p>
      <w:pPr>
        <w:pStyle w:val="7"/>
        <w:spacing w:before="173"/>
        <w:ind w:left="953"/>
        <w:rPr>
          <w:color w:val="auto"/>
          <w:highlight w:val="none"/>
        </w:rPr>
      </w:pPr>
      <w:r>
        <w:rPr>
          <w:color w:val="auto"/>
          <w:spacing w:val="-1"/>
          <w:highlight w:val="none"/>
        </w:rPr>
        <w:t>⑤ 必要的法律依据；</w:t>
      </w:r>
    </w:p>
    <w:p>
      <w:pPr>
        <w:pStyle w:val="7"/>
        <w:spacing w:before="172"/>
        <w:ind w:left="953"/>
        <w:rPr>
          <w:color w:val="auto"/>
          <w:highlight w:val="none"/>
        </w:rPr>
      </w:pPr>
      <w:r>
        <w:rPr>
          <w:color w:val="auto"/>
          <w:spacing w:val="-1"/>
          <w:highlight w:val="none"/>
        </w:rPr>
        <w:t>⑥ 提出质疑的日期。</w:t>
      </w:r>
    </w:p>
    <w:p>
      <w:pPr>
        <w:pStyle w:val="25"/>
        <w:numPr>
          <w:ilvl w:val="0"/>
          <w:numId w:val="28"/>
        </w:numPr>
        <w:tabs>
          <w:tab w:val="left" w:pos="1315"/>
        </w:tabs>
        <w:spacing w:before="173" w:after="0" w:line="374" w:lineRule="auto"/>
        <w:ind w:left="232" w:right="232" w:firstLine="480"/>
        <w:jc w:val="left"/>
        <w:rPr>
          <w:color w:val="auto"/>
          <w:sz w:val="24"/>
          <w:highlight w:val="none"/>
        </w:rPr>
      </w:pPr>
      <w:r>
        <w:rPr>
          <w:color w:val="auto"/>
          <w:spacing w:val="-5"/>
          <w:sz w:val="24"/>
          <w:highlight w:val="none"/>
        </w:rPr>
        <w:t xml:space="preserve">供应商为自然人的，应当由本人签字；供应商为法人或者其他组织的，应当由法 </w:t>
      </w:r>
      <w:r>
        <w:rPr>
          <w:color w:val="auto"/>
          <w:spacing w:val="-4"/>
          <w:sz w:val="24"/>
          <w:highlight w:val="none"/>
        </w:rPr>
        <w:t>定代表人、主要负责人，或者其授权代表签字或者盖章并加盖公章。</w:t>
      </w:r>
    </w:p>
    <w:p>
      <w:pPr>
        <w:pStyle w:val="25"/>
        <w:numPr>
          <w:ilvl w:val="0"/>
          <w:numId w:val="28"/>
        </w:numPr>
        <w:tabs>
          <w:tab w:val="left" w:pos="1315"/>
        </w:tabs>
        <w:spacing w:before="0" w:after="0" w:line="374" w:lineRule="auto"/>
        <w:ind w:left="232" w:right="232" w:firstLine="480"/>
        <w:jc w:val="both"/>
        <w:rPr>
          <w:color w:val="auto"/>
          <w:sz w:val="24"/>
          <w:highlight w:val="none"/>
        </w:rPr>
      </w:pPr>
      <w:r>
        <w:rPr>
          <w:color w:val="auto"/>
          <w:spacing w:val="-3"/>
          <w:sz w:val="24"/>
          <w:highlight w:val="none"/>
        </w:rPr>
        <w:t>供应商可以委托代理人进行质疑和投诉。其授权委托书应当载明代理人的姓名或</w:t>
      </w:r>
      <w:r>
        <w:rPr>
          <w:color w:val="auto"/>
          <w:spacing w:val="-4"/>
          <w:sz w:val="24"/>
          <w:highlight w:val="none"/>
        </w:rPr>
        <w:t>者名称、代理事项、具体权限、期限和相关事项。供应商为自然人的，应当由本人签字；供应商为法人或者其他组织的，应当由法定代表人、主要负责人签字或者盖章并加盖公章。</w:t>
      </w:r>
    </w:p>
    <w:p>
      <w:pPr>
        <w:pStyle w:val="25"/>
        <w:numPr>
          <w:ilvl w:val="0"/>
          <w:numId w:val="28"/>
        </w:numPr>
        <w:tabs>
          <w:tab w:val="left" w:pos="1315"/>
        </w:tabs>
        <w:spacing w:before="2" w:after="0" w:line="374" w:lineRule="auto"/>
        <w:ind w:left="232" w:right="229" w:firstLine="480"/>
        <w:jc w:val="left"/>
        <w:rPr>
          <w:color w:val="auto"/>
          <w:sz w:val="24"/>
          <w:highlight w:val="none"/>
        </w:rPr>
      </w:pPr>
      <w:r>
        <w:rPr>
          <w:color w:val="auto"/>
          <w:spacing w:val="-4"/>
          <w:sz w:val="24"/>
          <w:highlight w:val="none"/>
        </w:rPr>
        <w:t>招标人负责供应商质疑答复。招标人委托招标代理机构采购的，招标代理机构在委托授权范围内作出答复。</w:t>
      </w:r>
    </w:p>
    <w:p>
      <w:pPr>
        <w:pStyle w:val="25"/>
        <w:numPr>
          <w:ilvl w:val="0"/>
          <w:numId w:val="28"/>
        </w:numPr>
        <w:tabs>
          <w:tab w:val="left" w:pos="1315"/>
        </w:tabs>
        <w:spacing w:before="0" w:after="0" w:line="240" w:lineRule="auto"/>
        <w:ind w:left="1314" w:right="0" w:hanging="602"/>
        <w:jc w:val="left"/>
        <w:rPr>
          <w:color w:val="auto"/>
          <w:sz w:val="24"/>
          <w:highlight w:val="none"/>
        </w:rPr>
      </w:pPr>
      <w:r>
        <w:rPr>
          <w:color w:val="auto"/>
          <w:sz w:val="24"/>
          <w:highlight w:val="none"/>
        </w:rPr>
        <w:t>接收质疑函的方式和联系方式：</w:t>
      </w:r>
    </w:p>
    <w:p>
      <w:pPr>
        <w:pStyle w:val="7"/>
        <w:spacing w:before="173" w:line="374" w:lineRule="auto"/>
        <w:ind w:right="231" w:firstLine="480"/>
        <w:rPr>
          <w:color w:val="auto"/>
          <w:highlight w:val="none"/>
        </w:rPr>
      </w:pPr>
      <w:r>
        <w:rPr>
          <w:color w:val="auto"/>
          <w:spacing w:val="-3"/>
          <w:highlight w:val="none"/>
        </w:rPr>
        <w:t>① 接收质疑函的方式：书面递交质疑函纸质版</w:t>
      </w:r>
      <w:r>
        <w:rPr>
          <w:color w:val="auto"/>
          <w:highlight w:val="none"/>
        </w:rPr>
        <w:t>（当面递交</w:t>
      </w:r>
      <w:r>
        <w:rPr>
          <w:color w:val="auto"/>
          <w:spacing w:val="-22"/>
          <w:highlight w:val="none"/>
        </w:rPr>
        <w:t>）</w:t>
      </w:r>
      <w:r>
        <w:rPr>
          <w:color w:val="auto"/>
          <w:spacing w:val="-30"/>
          <w:highlight w:val="none"/>
        </w:rPr>
        <w:t xml:space="preserve">或 </w:t>
      </w:r>
      <w:r>
        <w:rPr>
          <w:color w:val="auto"/>
          <w:highlight w:val="none"/>
        </w:rPr>
        <w:t>PDF</w:t>
      </w:r>
      <w:r>
        <w:rPr>
          <w:color w:val="auto"/>
          <w:spacing w:val="-14"/>
          <w:highlight w:val="none"/>
        </w:rPr>
        <w:t xml:space="preserve"> 格式扫描件</w:t>
      </w:r>
      <w:r>
        <w:rPr>
          <w:color w:val="auto"/>
          <w:highlight w:val="none"/>
        </w:rPr>
        <w:t>（</w:t>
      </w:r>
      <w:r>
        <w:rPr>
          <w:color w:val="auto"/>
          <w:spacing w:val="-5"/>
          <w:highlight w:val="none"/>
        </w:rPr>
        <w:t>发至电</w:t>
      </w:r>
      <w:r>
        <w:rPr>
          <w:color w:val="auto"/>
          <w:highlight w:val="none"/>
        </w:rPr>
        <w:t>子邮箱）</w:t>
      </w:r>
    </w:p>
    <w:p>
      <w:pPr>
        <w:pStyle w:val="7"/>
        <w:ind w:left="713"/>
        <w:rPr>
          <w:color w:val="auto"/>
          <w:highlight w:val="none"/>
        </w:rPr>
      </w:pPr>
      <w:r>
        <w:rPr>
          <w:color w:val="auto"/>
          <w:highlight w:val="none"/>
        </w:rPr>
        <w:t>② 联系方式</w:t>
      </w:r>
    </w:p>
    <w:p>
      <w:pPr>
        <w:pStyle w:val="7"/>
        <w:tabs>
          <w:tab w:val="left" w:pos="1433"/>
        </w:tabs>
        <w:spacing w:before="0" w:line="360" w:lineRule="auto"/>
        <w:ind w:left="1100" w:leftChars="500" w:right="0" w:firstLine="0" w:firstLineChars="0"/>
        <w:rPr>
          <w:color w:val="auto"/>
          <w:spacing w:val="-17"/>
          <w:highlight w:val="none"/>
        </w:rPr>
      </w:pPr>
      <w:r>
        <w:rPr>
          <w:color w:val="auto"/>
          <w:highlight w:val="none"/>
        </w:rPr>
        <w:t>采 购</w:t>
      </w:r>
      <w:r>
        <w:rPr>
          <w:color w:val="auto"/>
          <w:spacing w:val="-1"/>
          <w:highlight w:val="none"/>
        </w:rPr>
        <w:t xml:space="preserve"> </w:t>
      </w:r>
      <w:r>
        <w:rPr>
          <w:color w:val="auto"/>
          <w:highlight w:val="none"/>
        </w:rPr>
        <w:t>人：紫阳县向阳镇人民政府</w:t>
      </w:r>
      <w:r>
        <w:rPr>
          <w:color w:val="auto"/>
          <w:spacing w:val="-17"/>
          <w:highlight w:val="none"/>
        </w:rPr>
        <w:t xml:space="preserve">； </w:t>
      </w:r>
    </w:p>
    <w:p>
      <w:pPr>
        <w:pStyle w:val="7"/>
        <w:tabs>
          <w:tab w:val="left" w:pos="1433"/>
        </w:tabs>
        <w:spacing w:before="0" w:line="360" w:lineRule="auto"/>
        <w:ind w:left="1100" w:leftChars="500" w:right="0" w:firstLine="0" w:firstLineChars="0"/>
        <w:rPr>
          <w:color w:val="auto"/>
          <w:highlight w:val="none"/>
        </w:rPr>
      </w:pPr>
      <w:r>
        <w:rPr>
          <w:color w:val="auto"/>
          <w:highlight w:val="none"/>
        </w:rPr>
        <w:t>地</w:t>
      </w:r>
      <w:r>
        <w:rPr>
          <w:color w:val="auto"/>
          <w:highlight w:val="none"/>
        </w:rPr>
        <w:tab/>
      </w:r>
      <w:r>
        <w:rPr>
          <w:color w:val="auto"/>
          <w:highlight w:val="none"/>
        </w:rPr>
        <w:t>址：向阳镇街道；</w:t>
      </w:r>
    </w:p>
    <w:p>
      <w:pPr>
        <w:pStyle w:val="7"/>
        <w:spacing w:before="0" w:line="360" w:lineRule="auto"/>
        <w:ind w:left="1100" w:leftChars="500" w:right="0" w:firstLine="0" w:firstLineChars="0"/>
        <w:rPr>
          <w:color w:val="auto"/>
          <w:highlight w:val="none"/>
        </w:rPr>
      </w:pPr>
      <w:r>
        <w:rPr>
          <w:color w:val="auto"/>
          <w:spacing w:val="-1"/>
          <w:highlight w:val="none"/>
        </w:rPr>
        <w:t>联系方式：</w:t>
      </w:r>
      <w:r>
        <w:rPr>
          <w:color w:val="auto"/>
          <w:highlight w:val="none"/>
        </w:rPr>
        <w:t>0915-4512059；</w:t>
      </w:r>
    </w:p>
    <w:p>
      <w:pPr>
        <w:pStyle w:val="7"/>
        <w:tabs>
          <w:tab w:val="left" w:pos="1433"/>
        </w:tabs>
        <w:spacing w:before="0" w:line="360" w:lineRule="auto"/>
        <w:ind w:left="1100" w:leftChars="500" w:right="0" w:rightChars="0" w:firstLine="0" w:firstLineChars="0"/>
        <w:rPr>
          <w:color w:val="auto"/>
          <w:highlight w:val="none"/>
        </w:rPr>
      </w:pPr>
      <w:r>
        <w:rPr>
          <w:color w:val="auto"/>
          <w:highlight w:val="none"/>
        </w:rPr>
        <w:t>招标代理机构：</w:t>
      </w:r>
      <w:r>
        <w:rPr>
          <w:rFonts w:hint="eastAsia"/>
          <w:color w:val="auto"/>
          <w:highlight w:val="none"/>
          <w:lang w:eastAsia="zh-CN"/>
        </w:rPr>
        <w:t>鸿利项目管理有限公司</w:t>
      </w:r>
      <w:r>
        <w:rPr>
          <w:color w:val="auto"/>
          <w:highlight w:val="none"/>
        </w:rPr>
        <w:t xml:space="preserve">； </w:t>
      </w:r>
    </w:p>
    <w:p>
      <w:pPr>
        <w:pStyle w:val="7"/>
        <w:tabs>
          <w:tab w:val="left" w:pos="1433"/>
        </w:tabs>
        <w:spacing w:before="0" w:line="360" w:lineRule="auto"/>
        <w:ind w:left="1100" w:leftChars="500" w:right="0" w:rightChars="0" w:firstLine="0" w:firstLineChars="0"/>
        <w:rPr>
          <w:color w:val="auto"/>
          <w:spacing w:val="-17"/>
          <w:highlight w:val="none"/>
        </w:rPr>
      </w:pPr>
      <w:r>
        <w:rPr>
          <w:color w:val="auto"/>
          <w:highlight w:val="none"/>
        </w:rPr>
        <w:t>地</w:t>
      </w:r>
      <w:r>
        <w:rPr>
          <w:color w:val="auto"/>
          <w:highlight w:val="none"/>
        </w:rPr>
        <w:tab/>
      </w:r>
      <w:r>
        <w:rPr>
          <w:color w:val="auto"/>
          <w:highlight w:val="none"/>
        </w:rPr>
        <w:t>址：</w:t>
      </w:r>
      <w:r>
        <w:rPr>
          <w:rFonts w:hint="eastAsia"/>
          <w:color w:val="auto"/>
          <w:highlight w:val="none"/>
        </w:rPr>
        <w:t>安康市高新区居尚现代城19幢502号</w:t>
      </w:r>
      <w:r>
        <w:rPr>
          <w:color w:val="auto"/>
          <w:spacing w:val="-17"/>
          <w:highlight w:val="none"/>
        </w:rPr>
        <w:t xml:space="preserve">； </w:t>
      </w:r>
    </w:p>
    <w:p>
      <w:pPr>
        <w:pStyle w:val="7"/>
        <w:tabs>
          <w:tab w:val="left" w:pos="1433"/>
        </w:tabs>
        <w:spacing w:before="0" w:line="360" w:lineRule="auto"/>
        <w:ind w:left="1100" w:leftChars="500" w:right="0" w:rightChars="0" w:firstLine="0" w:firstLineChars="0"/>
        <w:rPr>
          <w:color w:val="auto"/>
          <w:highlight w:val="none"/>
        </w:rPr>
      </w:pPr>
      <w:r>
        <w:rPr>
          <w:color w:val="auto"/>
          <w:highlight w:val="none"/>
        </w:rPr>
        <w:t>联系方式：0915-</w:t>
      </w:r>
      <w:r>
        <w:rPr>
          <w:rFonts w:hint="eastAsia"/>
          <w:color w:val="auto"/>
          <w:highlight w:val="none"/>
          <w:lang w:val="en-US" w:eastAsia="zh-CN"/>
        </w:rPr>
        <w:t>3250777（18309152600）</w:t>
      </w:r>
      <w:r>
        <w:rPr>
          <w:color w:val="auto"/>
          <w:highlight w:val="none"/>
        </w:rPr>
        <w:t>；</w:t>
      </w:r>
    </w:p>
    <w:p>
      <w:pPr>
        <w:pStyle w:val="7"/>
        <w:tabs>
          <w:tab w:val="left" w:pos="1433"/>
        </w:tabs>
        <w:spacing w:before="0" w:line="360" w:lineRule="auto"/>
        <w:ind w:left="1100" w:leftChars="500" w:right="0" w:firstLine="0" w:firstLineChars="0"/>
        <w:rPr>
          <w:color w:val="auto"/>
          <w:spacing w:val="-17"/>
          <w:highlight w:val="none"/>
        </w:rPr>
      </w:pPr>
      <w:r>
        <w:rPr>
          <w:color w:val="auto"/>
          <w:highlight w:val="none"/>
        </w:rPr>
        <w:t>邮</w:t>
      </w:r>
      <w:r>
        <w:rPr>
          <w:color w:val="auto"/>
          <w:highlight w:val="none"/>
        </w:rPr>
        <w:tab/>
      </w:r>
      <w:r>
        <w:rPr>
          <w:color w:val="auto"/>
          <w:highlight w:val="none"/>
        </w:rPr>
        <w:fldChar w:fldCharType="begin"/>
      </w:r>
      <w:r>
        <w:rPr>
          <w:color w:val="auto"/>
          <w:highlight w:val="none"/>
        </w:rPr>
        <w:instrText xml:space="preserve"> HYPERLINK "mailto:595468028@qq.com" \h </w:instrText>
      </w:r>
      <w:r>
        <w:rPr>
          <w:color w:val="auto"/>
          <w:highlight w:val="none"/>
        </w:rPr>
        <w:fldChar w:fldCharType="separate"/>
      </w:r>
      <w:r>
        <w:rPr>
          <w:color w:val="auto"/>
          <w:highlight w:val="none"/>
        </w:rPr>
        <w:t>箱：</w:t>
      </w:r>
      <w:r>
        <w:rPr>
          <w:rFonts w:hint="eastAsia"/>
          <w:color w:val="auto"/>
          <w:highlight w:val="none"/>
          <w:lang w:val="en-US" w:eastAsia="zh-CN"/>
        </w:rPr>
        <w:t>128102821</w:t>
      </w:r>
      <w:r>
        <w:rPr>
          <w:color w:val="auto"/>
          <w:highlight w:val="none"/>
        </w:rPr>
        <w:t>@qq.com</w:t>
      </w:r>
      <w:r>
        <w:rPr>
          <w:color w:val="auto"/>
          <w:highlight w:val="none"/>
        </w:rPr>
        <w:fldChar w:fldCharType="end"/>
      </w:r>
      <w:r>
        <w:rPr>
          <w:color w:val="auto"/>
          <w:spacing w:val="-17"/>
          <w:highlight w:val="none"/>
        </w:rPr>
        <w:t>。</w:t>
      </w:r>
    </w:p>
    <w:p>
      <w:pPr>
        <w:pStyle w:val="7"/>
        <w:tabs>
          <w:tab w:val="left" w:pos="1433"/>
        </w:tabs>
        <w:spacing w:before="0" w:line="360" w:lineRule="auto"/>
        <w:ind w:left="1100" w:leftChars="500" w:right="0" w:firstLine="0" w:firstLineChars="0"/>
        <w:rPr>
          <w:color w:val="auto"/>
          <w:highlight w:val="none"/>
        </w:rPr>
      </w:pPr>
      <w:r>
        <w:rPr>
          <w:color w:val="auto"/>
          <w:highlight w:val="none"/>
        </w:rPr>
        <w:t>2、投诉</w:t>
      </w:r>
    </w:p>
    <w:p>
      <w:pPr>
        <w:pStyle w:val="25"/>
        <w:numPr>
          <w:ilvl w:val="0"/>
          <w:numId w:val="29"/>
        </w:numPr>
        <w:tabs>
          <w:tab w:val="left" w:pos="1315"/>
        </w:tabs>
        <w:spacing w:before="1" w:after="0" w:line="374" w:lineRule="auto"/>
        <w:ind w:left="232" w:right="233" w:firstLine="480"/>
        <w:jc w:val="both"/>
        <w:rPr>
          <w:color w:val="auto"/>
          <w:sz w:val="24"/>
          <w:highlight w:val="none"/>
        </w:rPr>
      </w:pPr>
      <w:r>
        <w:rPr>
          <w:color w:val="auto"/>
          <w:spacing w:val="-5"/>
          <w:sz w:val="24"/>
          <w:highlight w:val="none"/>
        </w:rPr>
        <w:t xml:space="preserve">质疑供应商对招标人、招标代理机构的答复不满意，或者招标人、招标代理机构 </w:t>
      </w:r>
      <w:r>
        <w:rPr>
          <w:color w:val="auto"/>
          <w:spacing w:val="-7"/>
          <w:sz w:val="24"/>
          <w:highlight w:val="none"/>
        </w:rPr>
        <w:t xml:space="preserve">未在规定时间内作出答复的，可以在答复期满后 </w:t>
      </w:r>
      <w:r>
        <w:rPr>
          <w:color w:val="auto"/>
          <w:sz w:val="24"/>
          <w:highlight w:val="none"/>
        </w:rPr>
        <w:t>15</w:t>
      </w:r>
      <w:r>
        <w:rPr>
          <w:color w:val="auto"/>
          <w:spacing w:val="-8"/>
          <w:sz w:val="24"/>
          <w:highlight w:val="none"/>
        </w:rPr>
        <w:t xml:space="preserve"> 个工作日内向同级财政部门提起投诉。</w:t>
      </w:r>
    </w:p>
    <w:p>
      <w:pPr>
        <w:pStyle w:val="25"/>
        <w:numPr>
          <w:ilvl w:val="0"/>
          <w:numId w:val="29"/>
        </w:numPr>
        <w:tabs>
          <w:tab w:val="left" w:pos="1316"/>
        </w:tabs>
        <w:spacing w:before="1" w:after="0" w:line="374" w:lineRule="auto"/>
        <w:ind w:left="232" w:right="237" w:firstLine="480"/>
        <w:jc w:val="both"/>
        <w:rPr>
          <w:color w:val="auto"/>
          <w:sz w:val="24"/>
          <w:highlight w:val="none"/>
        </w:rPr>
      </w:pPr>
      <w:r>
        <w:rPr>
          <w:color w:val="auto"/>
          <w:spacing w:val="-1"/>
          <w:sz w:val="24"/>
          <w:highlight w:val="none"/>
        </w:rPr>
        <w:t>投诉人投诉时,应当提交投诉书和必要的证明材料，并按照被投诉招标人、招标代</w:t>
      </w:r>
      <w:r>
        <w:rPr>
          <w:color w:val="auto"/>
          <w:sz w:val="24"/>
          <w:highlight w:val="none"/>
        </w:rPr>
        <w:t>理机构（以下简称被投诉人）</w:t>
      </w:r>
      <w:r>
        <w:rPr>
          <w:color w:val="auto"/>
          <w:spacing w:val="-1"/>
          <w:sz w:val="24"/>
          <w:highlight w:val="none"/>
        </w:rPr>
        <w:t>和与投诉事项有关的供应商数量提供投诉书的副本。投诉书应</w:t>
      </w:r>
      <w:r>
        <w:rPr>
          <w:color w:val="auto"/>
          <w:sz w:val="24"/>
          <w:highlight w:val="none"/>
        </w:rPr>
        <w:t>当包括下列内容：</w:t>
      </w:r>
    </w:p>
    <w:p>
      <w:pPr>
        <w:pStyle w:val="7"/>
        <w:spacing w:before="1"/>
        <w:ind w:left="713"/>
        <w:jc w:val="both"/>
        <w:rPr>
          <w:color w:val="auto"/>
          <w:highlight w:val="none"/>
        </w:rPr>
      </w:pPr>
      <w:r>
        <w:rPr>
          <w:color w:val="auto"/>
          <w:highlight w:val="none"/>
        </w:rPr>
        <w:t>① 投诉人和被投诉人的姓名或者名称、通讯地址、邮编、联系人及联系电话；</w:t>
      </w:r>
    </w:p>
    <w:p>
      <w:pPr>
        <w:pStyle w:val="7"/>
        <w:spacing w:before="172"/>
        <w:ind w:left="713"/>
        <w:jc w:val="both"/>
        <w:rPr>
          <w:color w:val="auto"/>
          <w:highlight w:val="none"/>
        </w:rPr>
      </w:pPr>
      <w:r>
        <w:rPr>
          <w:color w:val="auto"/>
          <w:highlight w:val="none"/>
        </w:rPr>
        <w:t>② 质疑和质疑答复情况说明及相关证明材料；</w:t>
      </w:r>
    </w:p>
    <w:p>
      <w:pPr>
        <w:spacing w:after="0"/>
        <w:jc w:val="both"/>
        <w:rPr>
          <w:color w:val="auto"/>
          <w:highlight w:val="none"/>
        </w:rPr>
        <w:sectPr>
          <w:pgSz w:w="11910" w:h="16840"/>
          <w:pgMar w:top="1220" w:right="900" w:bottom="1200" w:left="900" w:header="0" w:footer="928" w:gutter="0"/>
        </w:sectPr>
      </w:pPr>
    </w:p>
    <w:p>
      <w:pPr>
        <w:pStyle w:val="7"/>
        <w:spacing w:before="38"/>
        <w:ind w:left="713"/>
        <w:rPr>
          <w:color w:val="auto"/>
          <w:highlight w:val="none"/>
        </w:rPr>
      </w:pPr>
      <w:r>
        <w:rPr>
          <w:color w:val="auto"/>
          <w:highlight w:val="none"/>
        </w:rPr>
        <w:t>③ 具体、明确的投诉事项和与投诉事项相关的投诉请求；</w:t>
      </w:r>
    </w:p>
    <w:p>
      <w:pPr>
        <w:pStyle w:val="7"/>
        <w:spacing w:before="173"/>
        <w:ind w:left="713"/>
        <w:rPr>
          <w:color w:val="auto"/>
          <w:highlight w:val="none"/>
        </w:rPr>
      </w:pPr>
      <w:r>
        <w:rPr>
          <w:color w:val="auto"/>
          <w:highlight w:val="none"/>
        </w:rPr>
        <w:t>④ 事实依据；</w:t>
      </w:r>
    </w:p>
    <w:p>
      <w:pPr>
        <w:pStyle w:val="7"/>
        <w:spacing w:before="173"/>
        <w:ind w:left="713"/>
        <w:rPr>
          <w:color w:val="auto"/>
          <w:highlight w:val="none"/>
        </w:rPr>
      </w:pPr>
      <w:r>
        <w:rPr>
          <w:color w:val="auto"/>
          <w:highlight w:val="none"/>
        </w:rPr>
        <w:t>⑤ 法律依据；</w:t>
      </w:r>
    </w:p>
    <w:p>
      <w:pPr>
        <w:pStyle w:val="7"/>
        <w:spacing w:before="172"/>
        <w:ind w:left="713"/>
        <w:rPr>
          <w:color w:val="auto"/>
          <w:highlight w:val="none"/>
        </w:rPr>
      </w:pPr>
      <w:r>
        <w:rPr>
          <w:color w:val="auto"/>
          <w:highlight w:val="none"/>
        </w:rPr>
        <w:t>⑥ 提起投诉的日期。</w:t>
      </w:r>
    </w:p>
    <w:p>
      <w:pPr>
        <w:pStyle w:val="25"/>
        <w:numPr>
          <w:ilvl w:val="0"/>
          <w:numId w:val="29"/>
        </w:numPr>
        <w:tabs>
          <w:tab w:val="left" w:pos="1315"/>
        </w:tabs>
        <w:spacing w:before="173" w:after="0" w:line="374" w:lineRule="auto"/>
        <w:ind w:left="232" w:right="232" w:firstLine="480"/>
        <w:jc w:val="left"/>
        <w:rPr>
          <w:color w:val="auto"/>
          <w:sz w:val="24"/>
          <w:highlight w:val="none"/>
        </w:rPr>
      </w:pPr>
      <w:r>
        <w:rPr>
          <w:color w:val="auto"/>
          <w:spacing w:val="-5"/>
          <w:sz w:val="24"/>
          <w:highlight w:val="none"/>
        </w:rPr>
        <w:t xml:space="preserve">投诉人为自然人的，应当由本人签字；投诉人为法人或者其他组织的，应当由法 </w:t>
      </w:r>
      <w:r>
        <w:rPr>
          <w:color w:val="auto"/>
          <w:spacing w:val="-4"/>
          <w:sz w:val="24"/>
          <w:highlight w:val="none"/>
        </w:rPr>
        <w:t>定代表人、主要负责人，或者其授权代表签字或者盖章，并加盖公章。</w:t>
      </w:r>
    </w:p>
    <w:p>
      <w:pPr>
        <w:pStyle w:val="25"/>
        <w:numPr>
          <w:ilvl w:val="0"/>
          <w:numId w:val="29"/>
        </w:numPr>
        <w:tabs>
          <w:tab w:val="left" w:pos="1315"/>
        </w:tabs>
        <w:spacing w:before="0" w:after="0" w:line="240" w:lineRule="auto"/>
        <w:ind w:left="1314" w:right="0" w:hanging="602"/>
        <w:jc w:val="left"/>
        <w:rPr>
          <w:color w:val="auto"/>
          <w:sz w:val="24"/>
          <w:highlight w:val="none"/>
        </w:rPr>
      </w:pPr>
      <w:r>
        <w:rPr>
          <w:color w:val="auto"/>
          <w:sz w:val="24"/>
          <w:highlight w:val="none"/>
        </w:rPr>
        <w:t>投诉人提起投诉应当符合下列条件：</w:t>
      </w:r>
    </w:p>
    <w:p>
      <w:pPr>
        <w:pStyle w:val="7"/>
        <w:spacing w:before="173"/>
        <w:ind w:left="713"/>
        <w:rPr>
          <w:color w:val="auto"/>
          <w:highlight w:val="none"/>
        </w:rPr>
      </w:pPr>
      <w:r>
        <w:rPr>
          <w:color w:val="auto"/>
          <w:highlight w:val="none"/>
        </w:rPr>
        <w:t>① 提起投诉前已依法进行质疑；</w:t>
      </w:r>
    </w:p>
    <w:p>
      <w:pPr>
        <w:pStyle w:val="7"/>
        <w:spacing w:before="172"/>
        <w:ind w:left="713"/>
        <w:rPr>
          <w:color w:val="auto"/>
          <w:highlight w:val="none"/>
        </w:rPr>
      </w:pPr>
      <w:r>
        <w:rPr>
          <w:color w:val="auto"/>
          <w:highlight w:val="none"/>
        </w:rPr>
        <w:t>② 投诉书内容符合《政府采购质疑和投诉办法》（财政部令第 94 号令）的规定；</w:t>
      </w:r>
    </w:p>
    <w:p>
      <w:pPr>
        <w:pStyle w:val="7"/>
        <w:spacing w:before="173"/>
        <w:ind w:left="713"/>
        <w:rPr>
          <w:color w:val="auto"/>
          <w:highlight w:val="none"/>
        </w:rPr>
      </w:pPr>
      <w:r>
        <w:rPr>
          <w:color w:val="auto"/>
          <w:highlight w:val="none"/>
        </w:rPr>
        <w:t>③ 在投诉有效期限内提起投诉；</w:t>
      </w:r>
    </w:p>
    <w:p>
      <w:pPr>
        <w:pStyle w:val="7"/>
        <w:spacing w:before="173"/>
        <w:ind w:left="713"/>
        <w:rPr>
          <w:color w:val="auto"/>
          <w:highlight w:val="none"/>
        </w:rPr>
      </w:pPr>
      <w:r>
        <w:rPr>
          <w:color w:val="auto"/>
          <w:highlight w:val="none"/>
        </w:rPr>
        <w:t>④ 同一投诉事项未经财政部门投诉处理；</w:t>
      </w:r>
    </w:p>
    <w:p>
      <w:pPr>
        <w:pStyle w:val="7"/>
        <w:spacing w:before="172"/>
        <w:ind w:left="713"/>
        <w:rPr>
          <w:color w:val="auto"/>
          <w:highlight w:val="none"/>
        </w:rPr>
      </w:pPr>
      <w:r>
        <w:rPr>
          <w:color w:val="auto"/>
          <w:highlight w:val="none"/>
        </w:rPr>
        <w:t>⑤ 财政部规定的其他条件。</w:t>
      </w:r>
    </w:p>
    <w:p>
      <w:pPr>
        <w:pStyle w:val="25"/>
        <w:numPr>
          <w:ilvl w:val="0"/>
          <w:numId w:val="29"/>
        </w:numPr>
        <w:tabs>
          <w:tab w:val="left" w:pos="1315"/>
        </w:tabs>
        <w:spacing w:before="173" w:after="0" w:line="374" w:lineRule="auto"/>
        <w:ind w:left="232" w:right="232" w:firstLine="480"/>
        <w:jc w:val="left"/>
        <w:rPr>
          <w:color w:val="auto"/>
          <w:sz w:val="24"/>
          <w:highlight w:val="none"/>
        </w:rPr>
      </w:pPr>
      <w:r>
        <w:rPr>
          <w:color w:val="auto"/>
          <w:spacing w:val="-2"/>
          <w:sz w:val="24"/>
          <w:highlight w:val="none"/>
        </w:rPr>
        <w:t>供应商投诉的事项不得超出已质疑事项的范围，但基于质疑答复内容提出的投诉</w:t>
      </w:r>
      <w:r>
        <w:rPr>
          <w:color w:val="auto"/>
          <w:spacing w:val="-4"/>
          <w:sz w:val="24"/>
          <w:highlight w:val="none"/>
        </w:rPr>
        <w:t>事项除外。</w:t>
      </w:r>
    </w:p>
    <w:p>
      <w:pPr>
        <w:spacing w:after="0" w:line="374" w:lineRule="auto"/>
        <w:jc w:val="left"/>
        <w:rPr>
          <w:color w:val="auto"/>
          <w:sz w:val="24"/>
          <w:highlight w:val="none"/>
        </w:rPr>
        <w:sectPr>
          <w:pgSz w:w="11910" w:h="16840"/>
          <w:pgMar w:top="1220" w:right="900" w:bottom="1200" w:left="900" w:header="0" w:footer="928" w:gutter="0"/>
        </w:sectPr>
      </w:pPr>
    </w:p>
    <w:p>
      <w:pPr>
        <w:pStyle w:val="3"/>
        <w:tabs>
          <w:tab w:val="left" w:pos="1286"/>
        </w:tabs>
        <w:ind w:right="3"/>
        <w:rPr>
          <w:color w:val="auto"/>
          <w:highlight w:val="none"/>
        </w:rPr>
      </w:pPr>
      <w:bookmarkStart w:id="6" w:name="第三章  合同主要条款"/>
      <w:bookmarkEnd w:id="6"/>
      <w:r>
        <w:rPr>
          <w:color w:val="auto"/>
          <w:highlight w:val="none"/>
        </w:rPr>
        <w:t>第三章</w:t>
      </w:r>
      <w:r>
        <w:rPr>
          <w:color w:val="auto"/>
          <w:highlight w:val="none"/>
        </w:rPr>
        <w:tab/>
      </w:r>
      <w:r>
        <w:rPr>
          <w:color w:val="auto"/>
          <w:highlight w:val="none"/>
        </w:rPr>
        <w:t>合同主要条款</w:t>
      </w:r>
    </w:p>
    <w:p>
      <w:pPr>
        <w:pStyle w:val="6"/>
        <w:spacing w:before="254"/>
        <w:ind w:left="715"/>
        <w:rPr>
          <w:color w:val="auto"/>
          <w:highlight w:val="none"/>
        </w:rPr>
      </w:pPr>
      <w:r>
        <w:rPr>
          <w:color w:val="auto"/>
          <w:highlight w:val="none"/>
        </w:rPr>
        <w:t>一、承包范围：</w:t>
      </w:r>
    </w:p>
    <w:p>
      <w:pPr>
        <w:pStyle w:val="7"/>
        <w:spacing w:before="172" w:line="374" w:lineRule="auto"/>
        <w:ind w:left="232" w:leftChars="0" w:right="111" w:firstLine="428" w:firstLineChars="0"/>
        <w:rPr>
          <w:color w:val="auto"/>
          <w:highlight w:val="none"/>
        </w:rPr>
      </w:pPr>
      <w:r>
        <w:rPr>
          <w:color w:val="auto"/>
          <w:spacing w:val="-5"/>
          <w:highlight w:val="none"/>
        </w:rPr>
        <w:t>项目主要建设规模及主要内容：</w:t>
      </w:r>
      <w:r>
        <w:rPr>
          <w:rFonts w:hint="eastAsia"/>
          <w:color w:val="auto"/>
          <w:spacing w:val="-5"/>
          <w:highlight w:val="none"/>
        </w:rPr>
        <w:t>改建道路3.22公里，挖土石方11200m³，弃方外运6700m³，路基换填1700m³，浆砌石挡墙280m³，钢筋混凝土圆管涵11道共68米等（具体工程量以招标工程量清单为准）。</w:t>
      </w:r>
    </w:p>
    <w:p>
      <w:pPr>
        <w:spacing w:before="1" w:line="343" w:lineRule="auto"/>
        <w:ind w:left="953" w:right="8184" w:hanging="238"/>
        <w:jc w:val="left"/>
        <w:rPr>
          <w:color w:val="auto"/>
          <w:sz w:val="28"/>
          <w:highlight w:val="none"/>
        </w:rPr>
      </w:pPr>
      <w:r>
        <w:rPr>
          <w:b/>
          <w:color w:val="auto"/>
          <w:sz w:val="24"/>
          <w:highlight w:val="none"/>
        </w:rPr>
        <w:t xml:space="preserve">二、工期： </w:t>
      </w:r>
      <w:r>
        <w:rPr>
          <w:rFonts w:hint="eastAsia"/>
          <w:color w:val="auto"/>
          <w:sz w:val="24"/>
          <w:highlight w:val="none"/>
          <w:lang w:val="en-US" w:eastAsia="zh-CN"/>
        </w:rPr>
        <w:t>3</w:t>
      </w:r>
      <w:r>
        <w:rPr>
          <w:color w:val="auto"/>
          <w:sz w:val="24"/>
          <w:highlight w:val="none"/>
        </w:rPr>
        <w:t>0 天</w:t>
      </w:r>
      <w:r>
        <w:rPr>
          <w:color w:val="auto"/>
          <w:sz w:val="28"/>
          <w:highlight w:val="none"/>
        </w:rPr>
        <w:t>。</w:t>
      </w:r>
    </w:p>
    <w:p>
      <w:pPr>
        <w:pStyle w:val="6"/>
        <w:spacing w:before="7" w:line="374" w:lineRule="auto"/>
        <w:ind w:left="715" w:right="6979"/>
        <w:rPr>
          <w:color w:val="auto"/>
          <w:highlight w:val="none"/>
        </w:rPr>
      </w:pPr>
      <w:r>
        <w:rPr>
          <w:color w:val="auto"/>
          <w:highlight w:val="none"/>
        </w:rPr>
        <w:t>三、工程质量：</w:t>
      </w:r>
      <w:r>
        <w:rPr>
          <w:b w:val="0"/>
          <w:color w:val="auto"/>
          <w:highlight w:val="none"/>
        </w:rPr>
        <w:t>合格。</w:t>
      </w:r>
      <w:r>
        <w:rPr>
          <w:color w:val="auto"/>
          <w:highlight w:val="none"/>
        </w:rPr>
        <w:t>四、承发包方式：</w:t>
      </w:r>
    </w:p>
    <w:p>
      <w:pPr>
        <w:spacing w:before="1" w:line="374" w:lineRule="auto"/>
        <w:ind w:left="715" w:right="2671" w:firstLine="237"/>
        <w:jc w:val="left"/>
        <w:rPr>
          <w:b/>
          <w:color w:val="auto"/>
          <w:sz w:val="24"/>
          <w:highlight w:val="none"/>
        </w:rPr>
      </w:pPr>
      <w:r>
        <w:rPr>
          <w:color w:val="auto"/>
          <w:spacing w:val="-1"/>
          <w:sz w:val="24"/>
          <w:highlight w:val="none"/>
        </w:rPr>
        <w:t>包工包料、包工期、包质量、包安全文明施工的施工总承包。</w:t>
      </w:r>
      <w:r>
        <w:rPr>
          <w:b/>
          <w:color w:val="auto"/>
          <w:sz w:val="24"/>
          <w:highlight w:val="none"/>
        </w:rPr>
        <w:t>五、本工程严禁转包。</w:t>
      </w:r>
    </w:p>
    <w:p>
      <w:pPr>
        <w:pStyle w:val="6"/>
        <w:ind w:left="715"/>
        <w:rPr>
          <w:color w:val="auto"/>
          <w:highlight w:val="none"/>
        </w:rPr>
      </w:pPr>
      <w:r>
        <w:rPr>
          <w:color w:val="auto"/>
          <w:w w:val="95"/>
          <w:highlight w:val="none"/>
        </w:rPr>
        <w:t>六、适用法律和法规：</w:t>
      </w:r>
    </w:p>
    <w:p>
      <w:pPr>
        <w:pStyle w:val="7"/>
        <w:spacing w:before="172" w:line="374" w:lineRule="auto"/>
        <w:ind w:right="233" w:firstLine="422"/>
        <w:jc w:val="both"/>
        <w:rPr>
          <w:color w:val="auto"/>
          <w:highlight w:val="none"/>
        </w:rPr>
      </w:pPr>
      <w:r>
        <w:rPr>
          <w:color w:val="auto"/>
          <w:highlight w:val="none"/>
        </w:rPr>
        <w:t>《中华人民共和国建筑法》、《中华人民共和国合同法》、《中华人民共和国招标投标法》、国务院《建设工程质量管理条例》、国务院《建设工程安全生产管理条例》等国家、地方部门有关法律法规。</w:t>
      </w:r>
    </w:p>
    <w:p>
      <w:pPr>
        <w:spacing w:before="1" w:line="374" w:lineRule="auto"/>
        <w:ind w:left="473" w:right="115" w:firstLine="0"/>
        <w:jc w:val="left"/>
        <w:rPr>
          <w:b/>
          <w:color w:val="auto"/>
          <w:sz w:val="24"/>
          <w:highlight w:val="none"/>
        </w:rPr>
      </w:pPr>
      <w:r>
        <w:rPr>
          <w:b/>
          <w:color w:val="auto"/>
          <w:spacing w:val="-21"/>
          <w:sz w:val="24"/>
          <w:highlight w:val="none"/>
        </w:rPr>
        <w:t>七、</w:t>
      </w:r>
      <w:r>
        <w:rPr>
          <w:color w:val="auto"/>
          <w:spacing w:val="-6"/>
          <w:sz w:val="24"/>
          <w:highlight w:val="none"/>
        </w:rPr>
        <w:t>项目经理要保证常驻现场，非发包人要求中途不得更换项目经理及主要技术管理人员。</w:t>
      </w:r>
      <w:r>
        <w:rPr>
          <w:b/>
          <w:color w:val="auto"/>
          <w:sz w:val="24"/>
          <w:highlight w:val="none"/>
        </w:rPr>
        <w:t>八、发包人派驻的现场代表职权：</w:t>
      </w:r>
    </w:p>
    <w:p>
      <w:pPr>
        <w:pStyle w:val="7"/>
        <w:spacing w:before="1"/>
        <w:ind w:left="473"/>
        <w:rPr>
          <w:color w:val="auto"/>
          <w:highlight w:val="none"/>
        </w:rPr>
      </w:pPr>
      <w:r>
        <w:rPr>
          <w:color w:val="auto"/>
          <w:highlight w:val="none"/>
        </w:rPr>
        <w:t>1、本合同及与本包工程相关的所有合同的履行权；</w:t>
      </w:r>
    </w:p>
    <w:p>
      <w:pPr>
        <w:pStyle w:val="7"/>
        <w:spacing w:before="173"/>
        <w:ind w:left="473"/>
        <w:rPr>
          <w:color w:val="auto"/>
          <w:highlight w:val="none"/>
        </w:rPr>
      </w:pPr>
      <w:r>
        <w:rPr>
          <w:color w:val="auto"/>
          <w:highlight w:val="none"/>
        </w:rPr>
        <w:t>2、对工程规模、设计标准、规划设计、生产工艺设计和设计使用功能要求的认定权；</w:t>
      </w:r>
    </w:p>
    <w:p>
      <w:pPr>
        <w:pStyle w:val="7"/>
        <w:spacing w:before="172"/>
        <w:ind w:left="473"/>
        <w:rPr>
          <w:color w:val="auto"/>
          <w:highlight w:val="none"/>
        </w:rPr>
      </w:pPr>
      <w:r>
        <w:rPr>
          <w:color w:val="auto"/>
          <w:highlight w:val="none"/>
        </w:rPr>
        <w:t>3、对工程设计变更的审批权；</w:t>
      </w:r>
    </w:p>
    <w:p>
      <w:pPr>
        <w:pStyle w:val="7"/>
        <w:spacing w:before="173"/>
        <w:ind w:left="473"/>
        <w:rPr>
          <w:color w:val="auto"/>
          <w:highlight w:val="none"/>
        </w:rPr>
      </w:pPr>
      <w:r>
        <w:rPr>
          <w:color w:val="auto"/>
          <w:highlight w:val="none"/>
        </w:rPr>
        <w:t>4、工程变更及签证的确认权；主要材料、设备的认质权；</w:t>
      </w:r>
    </w:p>
    <w:p>
      <w:pPr>
        <w:pStyle w:val="7"/>
        <w:spacing w:before="172"/>
        <w:ind w:left="473"/>
        <w:rPr>
          <w:color w:val="auto"/>
          <w:highlight w:val="none"/>
        </w:rPr>
      </w:pPr>
      <w:r>
        <w:rPr>
          <w:color w:val="auto"/>
          <w:highlight w:val="none"/>
        </w:rPr>
        <w:t>5、工程价款的支付权；</w:t>
      </w:r>
    </w:p>
    <w:p>
      <w:pPr>
        <w:pStyle w:val="7"/>
        <w:spacing w:before="173"/>
        <w:ind w:left="473"/>
        <w:rPr>
          <w:color w:val="auto"/>
          <w:highlight w:val="none"/>
        </w:rPr>
      </w:pPr>
      <w:r>
        <w:rPr>
          <w:color w:val="auto"/>
          <w:highlight w:val="none"/>
        </w:rPr>
        <w:t>6、积极协调外部环境、组织工程竣工验收；</w:t>
      </w:r>
    </w:p>
    <w:p>
      <w:pPr>
        <w:spacing w:before="172" w:line="374" w:lineRule="auto"/>
        <w:ind w:left="473" w:right="5431" w:firstLine="0"/>
        <w:jc w:val="left"/>
        <w:rPr>
          <w:b/>
          <w:color w:val="auto"/>
          <w:sz w:val="24"/>
          <w:highlight w:val="none"/>
        </w:rPr>
      </w:pPr>
      <w:r>
        <w:rPr>
          <w:color w:val="auto"/>
          <w:sz w:val="24"/>
          <w:highlight w:val="none"/>
        </w:rPr>
        <w:t>7、行使发包人应有的其他权利和义务。</w:t>
      </w:r>
      <w:r>
        <w:rPr>
          <w:b/>
          <w:color w:val="auto"/>
          <w:sz w:val="24"/>
          <w:highlight w:val="none"/>
        </w:rPr>
        <w:t>九、承包人应做好以下工作：</w:t>
      </w:r>
    </w:p>
    <w:p>
      <w:pPr>
        <w:pStyle w:val="7"/>
        <w:spacing w:before="2" w:line="374" w:lineRule="auto"/>
        <w:ind w:right="232" w:firstLine="240"/>
        <w:jc w:val="both"/>
        <w:rPr>
          <w:color w:val="auto"/>
          <w:highlight w:val="none"/>
        </w:rPr>
      </w:pPr>
      <w:r>
        <w:rPr>
          <w:color w:val="auto"/>
          <w:highlight w:val="none"/>
        </w:rPr>
        <w:t>1</w:t>
      </w:r>
      <w:r>
        <w:rPr>
          <w:color w:val="auto"/>
          <w:spacing w:val="-12"/>
          <w:highlight w:val="none"/>
        </w:rPr>
        <w:t>、提供计划、报表的名称及完成时间：承包人应在本合同签订后五日内向发包人提交经承</w:t>
      </w:r>
      <w:r>
        <w:rPr>
          <w:color w:val="auto"/>
          <w:highlight w:val="none"/>
        </w:rPr>
        <w:t>包人的项目总工（公司总工）审批的施工组织设计（或施工方案）、总进度计划、总资金使用计划及工程进度计划、资金使用计划。</w:t>
      </w:r>
    </w:p>
    <w:p>
      <w:pPr>
        <w:pStyle w:val="7"/>
        <w:ind w:left="473"/>
        <w:rPr>
          <w:color w:val="auto"/>
          <w:highlight w:val="none"/>
        </w:rPr>
      </w:pPr>
      <w:r>
        <w:rPr>
          <w:color w:val="auto"/>
          <w:highlight w:val="none"/>
        </w:rPr>
        <w:t>2、承担施工安全保卫工作及非夜间施工照明的责任，提供和维修非夜间施工使用的照明、</w:t>
      </w:r>
    </w:p>
    <w:p>
      <w:pPr>
        <w:spacing w:after="0"/>
        <w:rPr>
          <w:color w:val="auto"/>
          <w:highlight w:val="none"/>
        </w:rPr>
        <w:sectPr>
          <w:pgSz w:w="11910" w:h="16840"/>
          <w:pgMar w:top="1180" w:right="900" w:bottom="1200" w:left="900" w:header="0" w:footer="928" w:gutter="0"/>
        </w:sectPr>
      </w:pPr>
    </w:p>
    <w:p>
      <w:pPr>
        <w:pStyle w:val="7"/>
        <w:spacing w:before="38" w:line="374" w:lineRule="auto"/>
        <w:ind w:right="239"/>
        <w:rPr>
          <w:color w:val="auto"/>
          <w:highlight w:val="none"/>
        </w:rPr>
      </w:pPr>
      <w:r>
        <w:rPr>
          <w:color w:val="auto"/>
          <w:highlight w:val="none"/>
        </w:rPr>
        <w:t>围栏设施，负责施工区域内的安全保卫，制定相应的施工安全措施，承担由于自身安全防护措施不力造成的经济损失和责任；</w:t>
      </w:r>
    </w:p>
    <w:p>
      <w:pPr>
        <w:pStyle w:val="7"/>
        <w:spacing w:before="1" w:line="374" w:lineRule="auto"/>
        <w:ind w:right="112" w:firstLine="240"/>
        <w:rPr>
          <w:color w:val="auto"/>
          <w:highlight w:val="none"/>
        </w:rPr>
      </w:pPr>
      <w:r>
        <w:rPr>
          <w:color w:val="auto"/>
          <w:highlight w:val="none"/>
        </w:rPr>
        <w:t>3</w:t>
      </w:r>
      <w:r>
        <w:rPr>
          <w:color w:val="auto"/>
          <w:spacing w:val="-16"/>
          <w:highlight w:val="none"/>
        </w:rPr>
        <w:t xml:space="preserve">、遵守发包人及相关部门对施工场地交通、施工噪音、环境保护和安全生产等的管理规定， </w:t>
      </w:r>
      <w:r>
        <w:rPr>
          <w:color w:val="auto"/>
          <w:highlight w:val="none"/>
        </w:rPr>
        <w:t>按规定办理有关手续，并承担由此发生的费用以及因此造成的罚款；</w:t>
      </w:r>
    </w:p>
    <w:p>
      <w:pPr>
        <w:pStyle w:val="7"/>
        <w:spacing w:before="1"/>
        <w:ind w:left="473"/>
        <w:rPr>
          <w:color w:val="auto"/>
          <w:highlight w:val="none"/>
        </w:rPr>
      </w:pPr>
      <w:r>
        <w:rPr>
          <w:color w:val="auto"/>
          <w:highlight w:val="none"/>
        </w:rPr>
        <w:t>4、做好已完工程成品保护，预防二次污染，并承担成品保护的费用；</w:t>
      </w:r>
    </w:p>
    <w:p>
      <w:pPr>
        <w:pStyle w:val="7"/>
        <w:spacing w:before="172" w:line="374" w:lineRule="auto"/>
        <w:ind w:right="151" w:firstLine="240"/>
        <w:rPr>
          <w:color w:val="auto"/>
          <w:highlight w:val="none"/>
        </w:rPr>
      </w:pPr>
      <w:r>
        <w:rPr>
          <w:color w:val="auto"/>
          <w:highlight w:val="none"/>
        </w:rPr>
        <w:t>5、按照文明工地要求组织施工，保证施工现场清洁整齐，符合环境卫生管理的有关规定， 交工之前清理完与现场无关的任何多余物品及垃圾等，做到工完场清；承担因违反有关规定造成的损失和罚款；</w:t>
      </w:r>
    </w:p>
    <w:p>
      <w:pPr>
        <w:pStyle w:val="7"/>
        <w:spacing w:before="1" w:line="374" w:lineRule="auto"/>
        <w:ind w:right="233" w:firstLine="240"/>
        <w:jc w:val="both"/>
        <w:rPr>
          <w:color w:val="auto"/>
          <w:highlight w:val="none"/>
        </w:rPr>
      </w:pPr>
      <w:r>
        <w:rPr>
          <w:color w:val="auto"/>
          <w:highlight w:val="none"/>
        </w:rPr>
        <w:t>6</w:t>
      </w:r>
      <w:r>
        <w:rPr>
          <w:color w:val="auto"/>
          <w:spacing w:val="-10"/>
          <w:highlight w:val="none"/>
        </w:rPr>
        <w:t>、承包人应认真遵守国务院颁布的《建设工程安全生产管理条例》及部门、地方制定的有</w:t>
      </w:r>
      <w:r>
        <w:rPr>
          <w:color w:val="auto"/>
          <w:spacing w:val="-1"/>
          <w:highlight w:val="none"/>
        </w:rPr>
        <w:t>关安全生产法律、法规的规定，根据本工程特点制定切实可行的安全管理制度和安全施工措</w:t>
      </w:r>
      <w:r>
        <w:rPr>
          <w:color w:val="auto"/>
          <w:highlight w:val="none"/>
        </w:rPr>
        <w:t>施，认真履行安全施工与检查职责，做好施工中的安全防护工作外，确保本工程施工安全， 依法承担本工程施工的安全责任。</w:t>
      </w:r>
    </w:p>
    <w:p>
      <w:pPr>
        <w:pStyle w:val="7"/>
        <w:spacing w:before="2" w:line="374" w:lineRule="auto"/>
        <w:ind w:right="233" w:firstLine="240"/>
        <w:jc w:val="both"/>
        <w:rPr>
          <w:color w:val="auto"/>
          <w:highlight w:val="none"/>
        </w:rPr>
      </w:pPr>
      <w:r>
        <w:rPr>
          <w:color w:val="auto"/>
          <w:highlight w:val="none"/>
        </w:rPr>
        <w:t>7</w:t>
      </w:r>
      <w:r>
        <w:rPr>
          <w:color w:val="auto"/>
          <w:spacing w:val="-10"/>
          <w:highlight w:val="none"/>
        </w:rPr>
        <w:t>、承包人未能履行相关义务，导致工期延误、或给发包人造成损失的，承包人赔偿发包人</w:t>
      </w:r>
      <w:r>
        <w:rPr>
          <w:color w:val="auto"/>
          <w:highlight w:val="none"/>
        </w:rPr>
        <w:t>有关损失，由此产生的工期延误而导致承包人不能按本合同约定的竣工时间向发包人交付工</w:t>
      </w:r>
      <w:r>
        <w:rPr>
          <w:color w:val="auto"/>
          <w:spacing w:val="-5"/>
          <w:highlight w:val="none"/>
        </w:rPr>
        <w:t xml:space="preserve">程的，工期每推迟一天按 </w:t>
      </w:r>
      <w:r>
        <w:rPr>
          <w:color w:val="auto"/>
          <w:highlight w:val="none"/>
        </w:rPr>
        <w:t>300</w:t>
      </w:r>
      <w:r>
        <w:rPr>
          <w:color w:val="auto"/>
          <w:spacing w:val="-30"/>
          <w:highlight w:val="none"/>
        </w:rPr>
        <w:t xml:space="preserve"> 元</w:t>
      </w:r>
      <w:r>
        <w:rPr>
          <w:color w:val="auto"/>
          <w:highlight w:val="none"/>
        </w:rPr>
        <w:t>/天处罚，限额为合同总造价的百分之二。</w:t>
      </w:r>
    </w:p>
    <w:p>
      <w:pPr>
        <w:pStyle w:val="7"/>
        <w:spacing w:before="1" w:line="374" w:lineRule="auto"/>
        <w:ind w:right="230" w:firstLine="240"/>
        <w:jc w:val="both"/>
        <w:rPr>
          <w:color w:val="auto"/>
          <w:highlight w:val="none"/>
        </w:rPr>
      </w:pPr>
      <w:r>
        <w:rPr>
          <w:color w:val="auto"/>
          <w:highlight w:val="none"/>
        </w:rPr>
        <w:t>8</w:t>
      </w:r>
      <w:r>
        <w:rPr>
          <w:color w:val="auto"/>
          <w:spacing w:val="-10"/>
          <w:highlight w:val="none"/>
        </w:rPr>
        <w:t>、承包人要服从项目所在地党委、政府属地管理，处理好与周边民众的关系及保护好周边</w:t>
      </w:r>
      <w:r>
        <w:rPr>
          <w:color w:val="auto"/>
          <w:highlight w:val="none"/>
        </w:rPr>
        <w:t>建筑不受损坏；承包人要主动向项目所在地镇、村及周边民众详细了解装修建筑的设备和管线，未经允许不得擅自拆除、移动、破坏，若不慎损坏则做相应赔偿。</w:t>
      </w:r>
    </w:p>
    <w:p>
      <w:pPr>
        <w:spacing w:before="1" w:line="374" w:lineRule="auto"/>
        <w:ind w:left="473" w:right="5537" w:firstLine="0"/>
        <w:jc w:val="left"/>
        <w:rPr>
          <w:color w:val="auto"/>
          <w:sz w:val="24"/>
          <w:highlight w:val="none"/>
        </w:rPr>
      </w:pPr>
      <w:r>
        <w:rPr>
          <w:b/>
          <w:color w:val="auto"/>
          <w:sz w:val="24"/>
          <w:highlight w:val="none"/>
        </w:rPr>
        <w:t>十、合同价款、支付、调整及竣工结算</w:t>
      </w:r>
      <w:r>
        <w:rPr>
          <w:color w:val="auto"/>
          <w:sz w:val="24"/>
          <w:highlight w:val="none"/>
        </w:rPr>
        <w:t>1、本工程合同价款为:</w:t>
      </w:r>
    </w:p>
    <w:p>
      <w:pPr>
        <w:pStyle w:val="7"/>
        <w:tabs>
          <w:tab w:val="left" w:pos="2750"/>
          <w:tab w:val="left" w:pos="5259"/>
        </w:tabs>
        <w:spacing w:before="1" w:line="374" w:lineRule="auto"/>
        <w:ind w:right="231" w:firstLine="240"/>
        <w:rPr>
          <w:color w:val="auto"/>
          <w:highlight w:val="none"/>
        </w:rPr>
      </w:pPr>
      <w:r>
        <w:rPr>
          <w:color w:val="auto"/>
          <w:highlight w:val="none"/>
        </w:rPr>
        <w:drawing>
          <wp:anchor distT="0" distB="0" distL="0" distR="0" simplePos="0" relativeHeight="245968896" behindDoc="1" locked="0" layoutInCell="1" allowOverlap="1">
            <wp:simplePos x="0" y="0"/>
            <wp:positionH relativeFrom="page">
              <wp:posOffset>6310630</wp:posOffset>
            </wp:positionH>
            <wp:positionV relativeFrom="paragraph">
              <wp:posOffset>45085</wp:posOffset>
            </wp:positionV>
            <wp:extent cx="69850" cy="10795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6" cstate="print"/>
                    <a:stretch>
                      <a:fillRect/>
                    </a:stretch>
                  </pic:blipFill>
                  <pic:spPr>
                    <a:xfrm>
                      <a:off x="0" y="0"/>
                      <a:ext cx="69850" cy="107950"/>
                    </a:xfrm>
                    <a:prstGeom prst="rect">
                      <a:avLst/>
                    </a:prstGeom>
                  </pic:spPr>
                </pic:pic>
              </a:graphicData>
            </a:graphic>
          </wp:anchor>
        </w:drawing>
      </w:r>
      <w:r>
        <w:rPr>
          <w:color w:val="auto"/>
          <w:highlight w:val="none"/>
        </w:rPr>
        <w:t>(大写)：</w:t>
      </w:r>
      <w:r>
        <w:rPr>
          <w:color w:val="auto"/>
          <w:highlight w:val="none"/>
        </w:rPr>
        <w:tab/>
      </w:r>
      <w:r>
        <w:rPr>
          <w:color w:val="auto"/>
          <w:highlight w:val="none"/>
        </w:rPr>
        <w:t>人民币</w:t>
      </w:r>
      <w:r>
        <w:rPr>
          <w:color w:val="auto"/>
          <w:spacing w:val="-3"/>
          <w:highlight w:val="none"/>
        </w:rPr>
        <w:t>；（￥：</w:t>
      </w:r>
      <w:r>
        <w:rPr>
          <w:color w:val="auto"/>
          <w:spacing w:val="-3"/>
          <w:highlight w:val="none"/>
        </w:rPr>
        <w:tab/>
      </w:r>
      <w:r>
        <w:rPr>
          <w:color w:val="auto"/>
          <w:highlight w:val="none"/>
        </w:rPr>
        <w:t>元</w:t>
      </w:r>
      <w:r>
        <w:rPr>
          <w:color w:val="auto"/>
          <w:spacing w:val="-5"/>
          <w:highlight w:val="none"/>
        </w:rPr>
        <w:t>）。</w:t>
      </w:r>
      <w:r>
        <w:rPr>
          <w:color w:val="auto"/>
          <w:highlight w:val="none"/>
        </w:rPr>
        <w:t>竣工结算时除预留合同价的</w:t>
      </w:r>
      <w:r>
        <w:rPr>
          <w:color w:val="auto"/>
          <w:spacing w:val="-58"/>
          <w:highlight w:val="none"/>
        </w:rPr>
        <w:t xml:space="preserve"> </w:t>
      </w:r>
      <w:r>
        <w:rPr>
          <w:color w:val="auto"/>
          <w:highlight w:val="none"/>
        </w:rPr>
        <w:t>3做为</w:t>
      </w:r>
      <w:r>
        <w:rPr>
          <w:color w:val="auto"/>
          <w:spacing w:val="-137"/>
          <w:highlight w:val="none"/>
        </w:rPr>
        <w:t>工</w:t>
      </w:r>
      <w:r>
        <w:rPr>
          <w:color w:val="auto"/>
          <w:highlight w:val="none"/>
        </w:rPr>
        <w:t>程保修金外，其余款项一次结算。</w:t>
      </w:r>
    </w:p>
    <w:p>
      <w:pPr>
        <w:pStyle w:val="7"/>
        <w:ind w:left="473"/>
        <w:rPr>
          <w:color w:val="auto"/>
          <w:highlight w:val="none"/>
        </w:rPr>
      </w:pPr>
      <w:r>
        <w:rPr>
          <w:color w:val="auto"/>
          <w:highlight w:val="none"/>
        </w:rPr>
        <w:t>2、工程款的支付</w:t>
      </w:r>
    </w:p>
    <w:p>
      <w:pPr>
        <w:pStyle w:val="25"/>
        <w:numPr>
          <w:ilvl w:val="1"/>
          <w:numId w:val="30"/>
        </w:numPr>
        <w:tabs>
          <w:tab w:val="left" w:pos="835"/>
        </w:tabs>
        <w:spacing w:before="173" w:after="0" w:line="240" w:lineRule="auto"/>
        <w:ind w:left="834" w:right="0" w:hanging="362"/>
        <w:jc w:val="left"/>
        <w:rPr>
          <w:color w:val="auto"/>
          <w:sz w:val="24"/>
          <w:highlight w:val="none"/>
        </w:rPr>
      </w:pPr>
      <w:r>
        <w:rPr>
          <w:color w:val="auto"/>
          <w:sz w:val="24"/>
          <w:highlight w:val="none"/>
        </w:rPr>
        <w:t>、本工程预付</w:t>
      </w:r>
      <w:r>
        <w:rPr>
          <w:color w:val="auto"/>
          <w:spacing w:val="-60"/>
          <w:sz w:val="24"/>
          <w:highlight w:val="none"/>
        </w:rPr>
        <w:t xml:space="preserve"> </w:t>
      </w:r>
      <w:r>
        <w:rPr>
          <w:color w:val="auto"/>
          <w:spacing w:val="2"/>
          <w:sz w:val="24"/>
          <w:highlight w:val="none"/>
        </w:rPr>
        <w:t>20</w:t>
      </w:r>
      <w:r>
        <w:rPr>
          <w:color w:val="auto"/>
          <w:spacing w:val="5"/>
          <w:sz w:val="24"/>
          <w:highlight w:val="none"/>
        </w:rPr>
        <w:drawing>
          <wp:inline distT="0" distB="0" distL="0" distR="0">
            <wp:extent cx="69850" cy="10795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6" cstate="print"/>
                    <a:stretch>
                      <a:fillRect/>
                    </a:stretch>
                  </pic:blipFill>
                  <pic:spPr>
                    <a:xfrm>
                      <a:off x="0" y="0"/>
                      <a:ext cx="69850" cy="107950"/>
                    </a:xfrm>
                    <a:prstGeom prst="rect">
                      <a:avLst/>
                    </a:prstGeom>
                  </pic:spPr>
                </pic:pic>
              </a:graphicData>
            </a:graphic>
          </wp:inline>
        </w:drawing>
      </w:r>
      <w:r>
        <w:rPr>
          <w:color w:val="auto"/>
          <w:sz w:val="24"/>
          <w:highlight w:val="none"/>
        </w:rPr>
        <w:t>备料款。</w:t>
      </w:r>
    </w:p>
    <w:p>
      <w:pPr>
        <w:pStyle w:val="25"/>
        <w:numPr>
          <w:ilvl w:val="1"/>
          <w:numId w:val="30"/>
        </w:numPr>
        <w:tabs>
          <w:tab w:val="left" w:pos="835"/>
        </w:tabs>
        <w:spacing w:before="172" w:after="0" w:line="240" w:lineRule="auto"/>
        <w:ind w:left="834" w:right="0" w:hanging="362"/>
        <w:jc w:val="left"/>
        <w:rPr>
          <w:color w:val="auto"/>
          <w:sz w:val="24"/>
          <w:highlight w:val="none"/>
        </w:rPr>
      </w:pPr>
      <w:r>
        <w:rPr>
          <w:color w:val="auto"/>
          <w:sz w:val="24"/>
          <w:highlight w:val="none"/>
        </w:rPr>
        <w:t>、工程款根据招标人审核的施工进度工程量进行拨付。</w:t>
      </w:r>
    </w:p>
    <w:p>
      <w:pPr>
        <w:pStyle w:val="25"/>
        <w:numPr>
          <w:ilvl w:val="1"/>
          <w:numId w:val="30"/>
        </w:numPr>
        <w:tabs>
          <w:tab w:val="left" w:pos="894"/>
        </w:tabs>
        <w:spacing w:before="173" w:after="0" w:line="374" w:lineRule="auto"/>
        <w:ind w:left="232" w:right="232" w:firstLine="240"/>
        <w:jc w:val="left"/>
        <w:rPr>
          <w:color w:val="auto"/>
          <w:sz w:val="24"/>
          <w:highlight w:val="none"/>
        </w:rPr>
      </w:pPr>
      <w:r>
        <w:rPr>
          <w:color w:val="auto"/>
          <w:sz w:val="24"/>
          <w:highlight w:val="none"/>
        </w:rPr>
        <w:t>工程款付至合同价的 80</w:t>
      </w:r>
      <w:r>
        <w:rPr>
          <w:color w:val="auto"/>
          <w:spacing w:val="-17"/>
          <w:sz w:val="24"/>
          <w:highlight w:val="none"/>
        </w:rPr>
        <w:t xml:space="preserve"> </w:t>
      </w:r>
      <w:r>
        <w:rPr>
          <w:color w:val="auto"/>
          <w:spacing w:val="-17"/>
          <w:sz w:val="24"/>
          <w:highlight w:val="none"/>
        </w:rPr>
        <w:drawing>
          <wp:inline distT="0" distB="0" distL="0" distR="0">
            <wp:extent cx="69850" cy="10795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6" cstate="print"/>
                    <a:stretch>
                      <a:fillRect/>
                    </a:stretch>
                  </pic:blipFill>
                  <pic:spPr>
                    <a:xfrm>
                      <a:off x="0" y="0"/>
                      <a:ext cx="69850" cy="107950"/>
                    </a:xfrm>
                    <a:prstGeom prst="rect">
                      <a:avLst/>
                    </a:prstGeom>
                  </pic:spPr>
                </pic:pic>
              </a:graphicData>
            </a:graphic>
          </wp:inline>
        </w:drawing>
      </w:r>
      <w:r>
        <w:rPr>
          <w:color w:val="auto"/>
          <w:sz w:val="24"/>
          <w:highlight w:val="none"/>
        </w:rPr>
        <w:t>时暂停支付，所余款项依照结算办法一并拨付。（保修金</w:t>
      </w:r>
      <w:r>
        <w:rPr>
          <w:color w:val="auto"/>
          <w:spacing w:val="-11"/>
          <w:sz w:val="24"/>
          <w:highlight w:val="none"/>
        </w:rPr>
        <w:t>除</w:t>
      </w:r>
      <w:r>
        <w:rPr>
          <w:color w:val="auto"/>
          <w:sz w:val="24"/>
          <w:highlight w:val="none"/>
        </w:rPr>
        <w:t>外）</w:t>
      </w:r>
    </w:p>
    <w:p>
      <w:pPr>
        <w:pStyle w:val="7"/>
        <w:spacing w:before="1"/>
        <w:ind w:left="473"/>
        <w:rPr>
          <w:color w:val="auto"/>
          <w:highlight w:val="none"/>
        </w:rPr>
      </w:pPr>
      <w:r>
        <w:rPr>
          <w:color w:val="auto"/>
          <w:highlight w:val="none"/>
        </w:rPr>
        <w:t>3、合同价款的调整</w:t>
      </w:r>
    </w:p>
    <w:p>
      <w:pPr>
        <w:pStyle w:val="25"/>
        <w:numPr>
          <w:ilvl w:val="1"/>
          <w:numId w:val="31"/>
        </w:numPr>
        <w:tabs>
          <w:tab w:val="left" w:pos="954"/>
        </w:tabs>
        <w:spacing w:before="172" w:after="0" w:line="374" w:lineRule="auto"/>
        <w:ind w:left="232" w:right="239" w:firstLine="240"/>
        <w:jc w:val="left"/>
        <w:rPr>
          <w:color w:val="auto"/>
          <w:sz w:val="24"/>
          <w:highlight w:val="none"/>
        </w:rPr>
      </w:pPr>
      <w:r>
        <w:rPr>
          <w:color w:val="auto"/>
          <w:spacing w:val="-1"/>
          <w:sz w:val="24"/>
          <w:highlight w:val="none"/>
        </w:rPr>
        <w:t>承包人在报价时已考虑了施工期间可能出现的政策、施工环境和市场的变化可能影响工程造价的因素，除发生下述情况按实调整外，承包人不得再以其他任何原因提出调整工程</w:t>
      </w:r>
    </w:p>
    <w:p>
      <w:pPr>
        <w:spacing w:after="0" w:line="374" w:lineRule="auto"/>
        <w:jc w:val="left"/>
        <w:rPr>
          <w:color w:val="auto"/>
          <w:sz w:val="24"/>
          <w:highlight w:val="none"/>
        </w:rPr>
        <w:sectPr>
          <w:pgSz w:w="11910" w:h="16840"/>
          <w:pgMar w:top="1220" w:right="900" w:bottom="1200" w:left="900" w:header="0" w:footer="928" w:gutter="0"/>
        </w:sectPr>
      </w:pPr>
    </w:p>
    <w:p>
      <w:pPr>
        <w:pStyle w:val="7"/>
        <w:spacing w:before="38"/>
        <w:rPr>
          <w:color w:val="auto"/>
          <w:highlight w:val="none"/>
        </w:rPr>
      </w:pPr>
      <w:r>
        <w:rPr>
          <w:color w:val="auto"/>
          <w:highlight w:val="none"/>
        </w:rPr>
        <w:t>造价。</w:t>
      </w:r>
    </w:p>
    <w:p>
      <w:pPr>
        <w:pStyle w:val="25"/>
        <w:numPr>
          <w:ilvl w:val="2"/>
          <w:numId w:val="31"/>
        </w:numPr>
        <w:tabs>
          <w:tab w:val="left" w:pos="1194"/>
        </w:tabs>
        <w:spacing w:before="173" w:after="0" w:line="240" w:lineRule="auto"/>
        <w:ind w:left="1193" w:right="0" w:hanging="721"/>
        <w:jc w:val="left"/>
        <w:rPr>
          <w:color w:val="auto"/>
          <w:sz w:val="24"/>
          <w:highlight w:val="none"/>
        </w:rPr>
      </w:pPr>
      <w:r>
        <w:rPr>
          <w:color w:val="auto"/>
          <w:sz w:val="24"/>
          <w:highlight w:val="none"/>
        </w:rPr>
        <w:t>发包人工地代表确认的工程量增减；</w:t>
      </w:r>
    </w:p>
    <w:p>
      <w:pPr>
        <w:pStyle w:val="25"/>
        <w:numPr>
          <w:ilvl w:val="2"/>
          <w:numId w:val="31"/>
        </w:numPr>
        <w:tabs>
          <w:tab w:val="left" w:pos="1194"/>
        </w:tabs>
        <w:spacing w:before="173" w:after="0" w:line="240" w:lineRule="auto"/>
        <w:ind w:left="1193" w:right="0" w:hanging="721"/>
        <w:jc w:val="left"/>
        <w:rPr>
          <w:color w:val="auto"/>
          <w:sz w:val="24"/>
          <w:highlight w:val="none"/>
        </w:rPr>
      </w:pPr>
      <w:r>
        <w:rPr>
          <w:color w:val="auto"/>
          <w:sz w:val="24"/>
          <w:highlight w:val="none"/>
        </w:rPr>
        <w:t>发包人工地代表确认的设计变更或工程洽商；</w:t>
      </w:r>
    </w:p>
    <w:p>
      <w:pPr>
        <w:pStyle w:val="25"/>
        <w:numPr>
          <w:ilvl w:val="1"/>
          <w:numId w:val="31"/>
        </w:numPr>
        <w:tabs>
          <w:tab w:val="left" w:pos="954"/>
        </w:tabs>
        <w:spacing w:before="172" w:after="0" w:line="240" w:lineRule="auto"/>
        <w:ind w:left="953" w:right="0" w:hanging="481"/>
        <w:jc w:val="left"/>
        <w:rPr>
          <w:color w:val="auto"/>
          <w:sz w:val="24"/>
          <w:highlight w:val="none"/>
        </w:rPr>
      </w:pPr>
      <w:r>
        <w:rPr>
          <w:color w:val="auto"/>
          <w:sz w:val="24"/>
          <w:highlight w:val="none"/>
        </w:rPr>
        <w:t>合同价款调整计算办法：</w:t>
      </w:r>
    </w:p>
    <w:p>
      <w:pPr>
        <w:pStyle w:val="7"/>
        <w:spacing w:before="173" w:line="374" w:lineRule="auto"/>
        <w:ind w:right="38" w:firstLine="240"/>
        <w:rPr>
          <w:color w:val="auto"/>
          <w:highlight w:val="none"/>
        </w:rPr>
      </w:pPr>
      <w:r>
        <w:rPr>
          <w:color w:val="auto"/>
          <w:highlight w:val="none"/>
        </w:rPr>
        <w:t>发包人指定或暂定单价的材料或设备，按发包人现场签署的认质认价单进行合同价款调整； 但承包人投标时根据市场行情自主报价的材料和设备的实际采购价格与原报价有差异的不予调整。</w:t>
      </w:r>
    </w:p>
    <w:p>
      <w:pPr>
        <w:pStyle w:val="7"/>
        <w:ind w:left="473"/>
        <w:rPr>
          <w:color w:val="auto"/>
          <w:highlight w:val="none"/>
        </w:rPr>
      </w:pPr>
      <w:r>
        <w:rPr>
          <w:color w:val="auto"/>
          <w:highlight w:val="none"/>
        </w:rPr>
        <w:t>4、竣工结算</w:t>
      </w:r>
    </w:p>
    <w:p>
      <w:pPr>
        <w:pStyle w:val="25"/>
        <w:numPr>
          <w:ilvl w:val="1"/>
          <w:numId w:val="32"/>
        </w:numPr>
        <w:tabs>
          <w:tab w:val="left" w:pos="954"/>
        </w:tabs>
        <w:spacing w:before="173" w:after="0" w:line="374" w:lineRule="auto"/>
        <w:ind w:left="232" w:right="236" w:firstLine="240"/>
        <w:jc w:val="both"/>
        <w:rPr>
          <w:color w:val="auto"/>
          <w:sz w:val="24"/>
          <w:highlight w:val="none"/>
        </w:rPr>
      </w:pPr>
      <w:r>
        <w:rPr>
          <w:color w:val="auto"/>
          <w:sz w:val="24"/>
          <w:highlight w:val="none"/>
        </w:rPr>
        <w:t>工程通过竣工验收并交付使用后 28</w:t>
      </w:r>
      <w:r>
        <w:rPr>
          <w:color w:val="auto"/>
          <w:spacing w:val="-1"/>
          <w:sz w:val="24"/>
          <w:highlight w:val="none"/>
        </w:rPr>
        <w:t xml:space="preserve"> 天内承包人向发包人递交竣工结算报告及完整的结算资料，发包人收到承包人递交的竣工结算报告及完整的结算资料后进行初审，并提出修</w:t>
      </w:r>
      <w:r>
        <w:rPr>
          <w:color w:val="auto"/>
          <w:sz w:val="24"/>
          <w:highlight w:val="none"/>
        </w:rPr>
        <w:t>改意见。</w:t>
      </w:r>
    </w:p>
    <w:p>
      <w:pPr>
        <w:pStyle w:val="25"/>
        <w:numPr>
          <w:ilvl w:val="1"/>
          <w:numId w:val="32"/>
        </w:numPr>
        <w:tabs>
          <w:tab w:val="left" w:pos="954"/>
        </w:tabs>
        <w:spacing w:before="1" w:after="0" w:line="374" w:lineRule="auto"/>
        <w:ind w:left="232" w:right="240" w:firstLine="240"/>
        <w:jc w:val="both"/>
        <w:rPr>
          <w:color w:val="auto"/>
          <w:sz w:val="24"/>
          <w:highlight w:val="none"/>
        </w:rPr>
      </w:pPr>
      <w:r>
        <w:rPr>
          <w:color w:val="auto"/>
          <w:spacing w:val="-1"/>
          <w:sz w:val="24"/>
          <w:highlight w:val="none"/>
        </w:rPr>
        <w:t>审计或造价咨询机构对工程竣工结算价款的最终审定应在双方对初审结论达成共识后</w:t>
      </w:r>
      <w:r>
        <w:rPr>
          <w:color w:val="auto"/>
          <w:sz w:val="24"/>
          <w:highlight w:val="none"/>
        </w:rPr>
        <w:t>完成。</w:t>
      </w:r>
    </w:p>
    <w:p>
      <w:pPr>
        <w:pStyle w:val="7"/>
        <w:spacing w:before="1"/>
        <w:ind w:left="473"/>
        <w:rPr>
          <w:color w:val="auto"/>
          <w:highlight w:val="none"/>
        </w:rPr>
      </w:pPr>
      <w:r>
        <w:rPr>
          <w:color w:val="auto"/>
          <w:highlight w:val="none"/>
        </w:rPr>
        <w:t>5、工程质量保修金的返还</w:t>
      </w:r>
    </w:p>
    <w:p>
      <w:pPr>
        <w:pStyle w:val="7"/>
        <w:spacing w:before="173" w:line="374" w:lineRule="auto"/>
        <w:ind w:right="240" w:firstLine="240"/>
        <w:rPr>
          <w:color w:val="auto"/>
          <w:highlight w:val="none"/>
        </w:rPr>
      </w:pPr>
      <w:r>
        <w:rPr>
          <w:color w:val="auto"/>
          <w:highlight w:val="none"/>
        </w:rPr>
        <w:t>如发生因承包人不在约定期限内派人保修而导致发包人委托他人修理所产生的费用从承包人的工程质量保修金中直接予以扣除。</w:t>
      </w:r>
    </w:p>
    <w:p>
      <w:pPr>
        <w:pStyle w:val="7"/>
        <w:ind w:left="473"/>
        <w:rPr>
          <w:color w:val="auto"/>
          <w:highlight w:val="none"/>
        </w:rPr>
      </w:pPr>
      <w:r>
        <w:rPr>
          <w:color w:val="auto"/>
          <w:highlight w:val="none"/>
        </w:rPr>
        <w:t>工程质量保修金在保修期满无质量问题后 5 个工作日内返还。</w:t>
      </w:r>
    </w:p>
    <w:p>
      <w:pPr>
        <w:pStyle w:val="7"/>
        <w:spacing w:before="173" w:line="374" w:lineRule="auto"/>
        <w:ind w:right="233" w:firstLine="240"/>
        <w:jc w:val="both"/>
        <w:rPr>
          <w:color w:val="auto"/>
          <w:highlight w:val="none"/>
        </w:rPr>
      </w:pPr>
      <w:r>
        <w:rPr>
          <w:b/>
          <w:color w:val="auto"/>
          <w:highlight w:val="none"/>
        </w:rPr>
        <w:t>十一、</w:t>
      </w:r>
      <w:r>
        <w:rPr>
          <w:color w:val="auto"/>
          <w:highlight w:val="none"/>
        </w:rPr>
        <w:t>承包人采购的材料、设备均应满足设计和规范要求的质量等级和环保要求，并应向发包人和监理机构提供产品合格证明和检验资料，因材料质量引起的工程质量、环境污染问题，由承包人承担所造成的一切损失。如发包人或监理机构对该部分材料的质量有异议，有权提出停止使用或再次见证取样复试的要求。如复试结果合格，由此发生的费用由发包人承担。</w:t>
      </w:r>
    </w:p>
    <w:p>
      <w:pPr>
        <w:pStyle w:val="7"/>
        <w:spacing w:before="2" w:line="374" w:lineRule="auto"/>
        <w:ind w:right="240" w:firstLine="240"/>
        <w:rPr>
          <w:color w:val="auto"/>
          <w:highlight w:val="none"/>
        </w:rPr>
      </w:pPr>
      <w:r>
        <w:rPr>
          <w:color w:val="auto"/>
          <w:highlight w:val="none"/>
        </w:rPr>
        <w:t>主要材料、设备或发包方有特别要求的材料设备须事先向发包方及监理方提供产品资料及样品，经考察筛选确定后再采购，使用或安装之前仍需履行必要的检验、检测程序。</w:t>
      </w:r>
    </w:p>
    <w:p>
      <w:pPr>
        <w:pStyle w:val="7"/>
        <w:spacing w:line="374" w:lineRule="auto"/>
        <w:ind w:right="240" w:firstLine="240"/>
        <w:rPr>
          <w:color w:val="auto"/>
          <w:highlight w:val="none"/>
        </w:rPr>
      </w:pPr>
      <w:r>
        <w:rPr>
          <w:color w:val="auto"/>
          <w:highlight w:val="none"/>
        </w:rPr>
        <w:t>承包人负责采购的所有材料、设备的采购、检验（试验）</w:t>
      </w:r>
      <w:r>
        <w:rPr>
          <w:color w:val="auto"/>
          <w:spacing w:val="-1"/>
          <w:highlight w:val="none"/>
        </w:rPr>
        <w:t>、使用、退换等执行国家、行业</w:t>
      </w:r>
      <w:r>
        <w:rPr>
          <w:color w:val="auto"/>
          <w:highlight w:val="none"/>
        </w:rPr>
        <w:t>相应的技术标准。</w:t>
      </w:r>
    </w:p>
    <w:p>
      <w:pPr>
        <w:pStyle w:val="6"/>
        <w:ind w:left="473"/>
        <w:rPr>
          <w:color w:val="auto"/>
          <w:highlight w:val="none"/>
        </w:rPr>
      </w:pPr>
      <w:r>
        <w:rPr>
          <w:color w:val="auto"/>
          <w:w w:val="95"/>
          <w:highlight w:val="none"/>
        </w:rPr>
        <w:t>十二、补充条款</w:t>
      </w:r>
    </w:p>
    <w:p>
      <w:pPr>
        <w:pStyle w:val="7"/>
        <w:spacing w:before="173"/>
        <w:ind w:left="473"/>
        <w:rPr>
          <w:color w:val="auto"/>
          <w:highlight w:val="none"/>
        </w:rPr>
      </w:pPr>
      <w:r>
        <w:rPr>
          <w:color w:val="auto"/>
          <w:highlight w:val="none"/>
        </w:rPr>
        <w:t>1、经双方考察认质认价的材料、设备，结算时不再优惠。</w:t>
      </w:r>
    </w:p>
    <w:p>
      <w:pPr>
        <w:pStyle w:val="7"/>
        <w:spacing w:before="172" w:line="374" w:lineRule="auto"/>
        <w:ind w:right="233" w:firstLine="240"/>
        <w:rPr>
          <w:color w:val="auto"/>
          <w:highlight w:val="none"/>
        </w:rPr>
      </w:pPr>
      <w:r>
        <w:rPr>
          <w:color w:val="auto"/>
          <w:highlight w:val="none"/>
        </w:rPr>
        <w:t>2</w:t>
      </w:r>
      <w:r>
        <w:rPr>
          <w:color w:val="auto"/>
          <w:spacing w:val="-11"/>
          <w:highlight w:val="none"/>
        </w:rPr>
        <w:t>、对本工程材料、构配件、设备的、试件等的检测、试验的外委实验室由发、承包方共同</w:t>
      </w:r>
      <w:r>
        <w:rPr>
          <w:color w:val="auto"/>
          <w:highlight w:val="none"/>
        </w:rPr>
        <w:t>考察确定，检测试验费用由发包人从承包人的工程款中扣除直接支付。</w:t>
      </w:r>
    </w:p>
    <w:p>
      <w:pPr>
        <w:spacing w:after="0" w:line="374" w:lineRule="auto"/>
        <w:rPr>
          <w:color w:val="auto"/>
          <w:highlight w:val="none"/>
        </w:rPr>
        <w:sectPr>
          <w:pgSz w:w="11910" w:h="16840"/>
          <w:pgMar w:top="1220" w:right="900" w:bottom="1200" w:left="900" w:header="0" w:footer="928" w:gutter="0"/>
        </w:sectPr>
      </w:pPr>
    </w:p>
    <w:p>
      <w:pPr>
        <w:pStyle w:val="7"/>
        <w:spacing w:before="38" w:line="374" w:lineRule="auto"/>
        <w:ind w:right="231" w:firstLine="240"/>
        <w:rPr>
          <w:color w:val="auto"/>
          <w:highlight w:val="none"/>
        </w:rPr>
      </w:pPr>
      <w:r>
        <w:rPr>
          <w:color w:val="auto"/>
          <w:highlight w:val="none"/>
        </w:rPr>
        <w:t>3</w:t>
      </w:r>
      <w:r>
        <w:rPr>
          <w:color w:val="auto"/>
          <w:spacing w:val="-4"/>
          <w:highlight w:val="none"/>
        </w:rPr>
        <w:t xml:space="preserve">、承包人应在竣工验收通过后 </w:t>
      </w:r>
      <w:r>
        <w:rPr>
          <w:color w:val="auto"/>
          <w:highlight w:val="none"/>
        </w:rPr>
        <w:t>3</w:t>
      </w:r>
      <w:r>
        <w:rPr>
          <w:color w:val="auto"/>
          <w:spacing w:val="-11"/>
          <w:highlight w:val="none"/>
        </w:rPr>
        <w:t xml:space="preserve"> 日内清退出场。否则，发包人将按 </w:t>
      </w:r>
      <w:r>
        <w:rPr>
          <w:color w:val="auto"/>
          <w:highlight w:val="none"/>
        </w:rPr>
        <w:t>200</w:t>
      </w:r>
      <w:r>
        <w:rPr>
          <w:color w:val="auto"/>
          <w:spacing w:val="-26"/>
          <w:highlight w:val="none"/>
        </w:rPr>
        <w:t xml:space="preserve"> 元</w:t>
      </w:r>
      <w:r>
        <w:rPr>
          <w:color w:val="auto"/>
          <w:highlight w:val="none"/>
        </w:rPr>
        <w:t>/</w:t>
      </w:r>
      <w:r>
        <w:rPr>
          <w:color w:val="auto"/>
          <w:spacing w:val="-3"/>
          <w:highlight w:val="none"/>
        </w:rPr>
        <w:t>日向承包人收</w:t>
      </w:r>
      <w:r>
        <w:rPr>
          <w:color w:val="auto"/>
          <w:highlight w:val="none"/>
        </w:rPr>
        <w:t>取场地占用费，此笔费用从工程款中予以扣除。</w:t>
      </w:r>
    </w:p>
    <w:p>
      <w:pPr>
        <w:pStyle w:val="7"/>
        <w:spacing w:before="1" w:line="374" w:lineRule="auto"/>
        <w:ind w:right="232" w:firstLine="240"/>
        <w:rPr>
          <w:color w:val="auto"/>
          <w:highlight w:val="none"/>
        </w:rPr>
      </w:pPr>
      <w:r>
        <w:rPr>
          <w:color w:val="auto"/>
          <w:highlight w:val="none"/>
        </w:rPr>
        <w:t>4</w:t>
      </w:r>
      <w:r>
        <w:rPr>
          <w:color w:val="auto"/>
          <w:spacing w:val="-10"/>
          <w:highlight w:val="none"/>
        </w:rPr>
        <w:t>、承包人在施工期间应严格按照国家有关政策处理好农民工工资问题，若由此引起一切不</w:t>
      </w:r>
      <w:r>
        <w:rPr>
          <w:color w:val="auto"/>
          <w:highlight w:val="none"/>
        </w:rPr>
        <w:t>良后果由承包人负责；发包人亦可暂停向承包人支付工程款，直至问题得到妥善解决。</w:t>
      </w:r>
    </w:p>
    <w:p>
      <w:pPr>
        <w:pStyle w:val="7"/>
        <w:spacing w:before="1"/>
        <w:ind w:left="473"/>
        <w:rPr>
          <w:color w:val="auto"/>
          <w:highlight w:val="none"/>
        </w:rPr>
      </w:pPr>
      <w:r>
        <w:rPr>
          <w:color w:val="auto"/>
          <w:highlight w:val="none"/>
        </w:rPr>
        <w:t>5、其他补充条款：</w:t>
      </w:r>
    </w:p>
    <w:p>
      <w:pPr>
        <w:pStyle w:val="25"/>
        <w:numPr>
          <w:ilvl w:val="1"/>
          <w:numId w:val="33"/>
        </w:numPr>
        <w:tabs>
          <w:tab w:val="left" w:pos="954"/>
        </w:tabs>
        <w:spacing w:before="172" w:after="0" w:line="240" w:lineRule="auto"/>
        <w:ind w:left="953" w:right="0" w:hanging="481"/>
        <w:jc w:val="left"/>
        <w:rPr>
          <w:color w:val="auto"/>
          <w:sz w:val="24"/>
          <w:highlight w:val="none"/>
        </w:rPr>
      </w:pPr>
      <w:r>
        <w:rPr>
          <w:color w:val="auto"/>
          <w:sz w:val="24"/>
          <w:highlight w:val="none"/>
        </w:rPr>
        <w:t>如工程达不到合格标准，承包人予以全额赔偿由此给发包人造成的全部损失。</w:t>
      </w:r>
    </w:p>
    <w:p>
      <w:pPr>
        <w:pStyle w:val="25"/>
        <w:numPr>
          <w:ilvl w:val="1"/>
          <w:numId w:val="33"/>
        </w:numPr>
        <w:tabs>
          <w:tab w:val="left" w:pos="954"/>
        </w:tabs>
        <w:spacing w:before="173" w:after="0" w:line="374" w:lineRule="auto"/>
        <w:ind w:left="232" w:right="240" w:firstLine="240"/>
        <w:jc w:val="left"/>
        <w:rPr>
          <w:color w:val="auto"/>
          <w:sz w:val="24"/>
          <w:highlight w:val="none"/>
        </w:rPr>
      </w:pPr>
      <w:r>
        <w:rPr>
          <w:color w:val="auto"/>
          <w:spacing w:val="-1"/>
          <w:sz w:val="24"/>
          <w:highlight w:val="none"/>
        </w:rPr>
        <w:t>本工程不得转包。一经发现承包人将本工程予以转包，发包人有权立即中止合同，承</w:t>
      </w:r>
      <w:r>
        <w:rPr>
          <w:color w:val="auto"/>
          <w:spacing w:val="-12"/>
          <w:sz w:val="24"/>
          <w:highlight w:val="none"/>
        </w:rPr>
        <w:t xml:space="preserve">包人应在 </w:t>
      </w:r>
      <w:r>
        <w:rPr>
          <w:color w:val="auto"/>
          <w:sz w:val="24"/>
          <w:highlight w:val="none"/>
        </w:rPr>
        <w:t>10</w:t>
      </w:r>
      <w:r>
        <w:rPr>
          <w:color w:val="auto"/>
          <w:spacing w:val="-8"/>
          <w:sz w:val="24"/>
          <w:highlight w:val="none"/>
        </w:rPr>
        <w:t xml:space="preserve"> 天内无条件清退出场。同时，承包人承担由此给发包人造成的一切损失。</w:t>
      </w:r>
    </w:p>
    <w:p>
      <w:pPr>
        <w:pStyle w:val="25"/>
        <w:numPr>
          <w:ilvl w:val="1"/>
          <w:numId w:val="33"/>
        </w:numPr>
        <w:tabs>
          <w:tab w:val="left" w:pos="954"/>
        </w:tabs>
        <w:spacing w:before="0" w:after="0" w:line="240" w:lineRule="auto"/>
        <w:ind w:left="953" w:right="0" w:hanging="481"/>
        <w:jc w:val="left"/>
        <w:rPr>
          <w:color w:val="auto"/>
          <w:sz w:val="24"/>
          <w:highlight w:val="none"/>
        </w:rPr>
      </w:pPr>
      <w:r>
        <w:rPr>
          <w:color w:val="auto"/>
          <w:sz w:val="24"/>
          <w:highlight w:val="none"/>
        </w:rPr>
        <w:t>因工程确需分包的项目必须经发包人同意。</w:t>
      </w:r>
    </w:p>
    <w:p>
      <w:pPr>
        <w:pStyle w:val="7"/>
        <w:ind w:left="0"/>
        <w:rPr>
          <w:color w:val="auto"/>
          <w:highlight w:val="none"/>
        </w:rPr>
      </w:pPr>
    </w:p>
    <w:p>
      <w:pPr>
        <w:pStyle w:val="3"/>
        <w:tabs>
          <w:tab w:val="left" w:pos="1286"/>
        </w:tabs>
        <w:spacing w:before="203"/>
        <w:ind w:right="2"/>
        <w:rPr>
          <w:color w:val="auto"/>
          <w:highlight w:val="none"/>
        </w:rPr>
      </w:pPr>
      <w:r>
        <w:rPr>
          <w:color w:val="auto"/>
          <w:highlight w:val="none"/>
        </w:rPr>
        <w:t>第四章</w:t>
      </w:r>
      <w:r>
        <w:rPr>
          <w:color w:val="auto"/>
          <w:highlight w:val="none"/>
        </w:rPr>
        <w:tab/>
      </w:r>
      <w:r>
        <w:rPr>
          <w:color w:val="auto"/>
          <w:highlight w:val="none"/>
        </w:rPr>
        <w:t>工程范围及质量验收标准</w:t>
      </w:r>
    </w:p>
    <w:p>
      <w:pPr>
        <w:pStyle w:val="7"/>
        <w:spacing w:before="11"/>
        <w:ind w:left="0"/>
        <w:rPr>
          <w:b/>
          <w:color w:val="auto"/>
          <w:sz w:val="27"/>
          <w:highlight w:val="none"/>
        </w:rPr>
      </w:pPr>
    </w:p>
    <w:p>
      <w:pPr>
        <w:pStyle w:val="6"/>
        <w:spacing w:before="0"/>
        <w:ind w:left="473"/>
        <w:rPr>
          <w:color w:val="auto"/>
          <w:highlight w:val="none"/>
        </w:rPr>
      </w:pPr>
      <w:r>
        <w:rPr>
          <w:color w:val="auto"/>
          <w:w w:val="95"/>
          <w:highlight w:val="none"/>
        </w:rPr>
        <w:t>一、工程内容：</w:t>
      </w:r>
    </w:p>
    <w:p>
      <w:pPr>
        <w:spacing w:before="172" w:line="374" w:lineRule="auto"/>
        <w:ind w:left="473" w:right="210" w:rightChars="0" w:firstLine="480"/>
        <w:jc w:val="left"/>
        <w:rPr>
          <w:rFonts w:hint="eastAsia"/>
          <w:color w:val="auto"/>
          <w:spacing w:val="-2"/>
          <w:sz w:val="24"/>
          <w:highlight w:val="none"/>
          <w:lang w:eastAsia="zh-CN"/>
        </w:rPr>
      </w:pPr>
      <w:r>
        <w:rPr>
          <w:rFonts w:hint="eastAsia"/>
          <w:color w:val="auto"/>
          <w:spacing w:val="-2"/>
          <w:sz w:val="24"/>
          <w:highlight w:val="none"/>
          <w:lang w:eastAsia="zh-CN"/>
        </w:rPr>
        <w:t>紫阳县向阳镇院墙村龚家院子至显钟村公路改建工程</w:t>
      </w:r>
    </w:p>
    <w:p>
      <w:pPr>
        <w:spacing w:before="172" w:line="374" w:lineRule="auto"/>
        <w:ind w:left="473" w:right="5311" w:firstLine="480"/>
        <w:jc w:val="left"/>
        <w:rPr>
          <w:b/>
          <w:color w:val="auto"/>
          <w:sz w:val="24"/>
          <w:highlight w:val="none"/>
        </w:rPr>
      </w:pPr>
      <w:r>
        <w:rPr>
          <w:b/>
          <w:color w:val="auto"/>
          <w:sz w:val="24"/>
          <w:highlight w:val="none"/>
        </w:rPr>
        <w:t>二、工程范围：</w:t>
      </w:r>
    </w:p>
    <w:p>
      <w:pPr>
        <w:pStyle w:val="7"/>
        <w:spacing w:before="1" w:line="374" w:lineRule="auto"/>
        <w:ind w:right="111" w:firstLine="720"/>
        <w:rPr>
          <w:color w:val="auto"/>
          <w:spacing w:val="0"/>
          <w:highlight w:val="none"/>
        </w:rPr>
      </w:pPr>
      <w:r>
        <w:rPr>
          <w:color w:val="auto"/>
          <w:spacing w:val="0"/>
          <w:highlight w:val="none"/>
        </w:rPr>
        <w:t>项目主要建设规模及主要内容：</w:t>
      </w:r>
      <w:r>
        <w:rPr>
          <w:rFonts w:hint="eastAsia"/>
          <w:color w:val="auto"/>
          <w:spacing w:val="0"/>
          <w:highlight w:val="none"/>
        </w:rPr>
        <w:t>改建道路3.22公里，挖土石方11200m³，弃方外运6700m³，路基换填1700m³，浆砌石挡墙280m³，钢筋混凝土圆管涵11道共68米等（具体工程量以招标工程量清单为准）。</w:t>
      </w:r>
    </w:p>
    <w:p>
      <w:pPr>
        <w:pStyle w:val="6"/>
        <w:ind w:left="473"/>
        <w:rPr>
          <w:color w:val="auto"/>
          <w:highlight w:val="none"/>
        </w:rPr>
      </w:pPr>
      <w:r>
        <w:rPr>
          <w:color w:val="auto"/>
          <w:highlight w:val="none"/>
        </w:rPr>
        <w:t>三、工程材料：</w:t>
      </w:r>
    </w:p>
    <w:p>
      <w:pPr>
        <w:pStyle w:val="7"/>
        <w:spacing w:before="173" w:line="374" w:lineRule="auto"/>
        <w:ind w:right="240" w:firstLine="720"/>
        <w:rPr>
          <w:color w:val="auto"/>
          <w:highlight w:val="none"/>
        </w:rPr>
      </w:pPr>
      <w:r>
        <w:rPr>
          <w:color w:val="auto"/>
          <w:highlight w:val="none"/>
        </w:rPr>
        <w:t>本工程材料均选用国优产品，同时在响应文件中必须明确所有材料的价格。本工程材料品牌或价格参考市场价，投标单位自主报价。</w:t>
      </w:r>
    </w:p>
    <w:p>
      <w:pPr>
        <w:pStyle w:val="7"/>
        <w:spacing w:line="374" w:lineRule="auto"/>
        <w:ind w:right="240" w:firstLine="720"/>
        <w:rPr>
          <w:color w:val="auto"/>
          <w:highlight w:val="none"/>
        </w:rPr>
      </w:pPr>
      <w:r>
        <w:rPr>
          <w:color w:val="auto"/>
          <w:highlight w:val="none"/>
        </w:rPr>
        <w:t>工程材料在工程实施过程中，由采购人认质。凡在工程实施过程因设计变更引起的施工费用，由发包方和承包方共同签字确认变更后协商解决。</w:t>
      </w:r>
    </w:p>
    <w:p>
      <w:pPr>
        <w:pStyle w:val="6"/>
        <w:ind w:left="473"/>
        <w:rPr>
          <w:color w:val="auto"/>
          <w:highlight w:val="none"/>
        </w:rPr>
      </w:pPr>
      <w:r>
        <w:rPr>
          <w:color w:val="auto"/>
          <w:highlight w:val="none"/>
        </w:rPr>
        <w:t>四、材料供应与验收</w:t>
      </w:r>
    </w:p>
    <w:p>
      <w:pPr>
        <w:pStyle w:val="7"/>
        <w:spacing w:before="173" w:line="374" w:lineRule="auto"/>
        <w:ind w:right="231" w:firstLine="720"/>
        <w:rPr>
          <w:color w:val="auto"/>
          <w:highlight w:val="none"/>
        </w:rPr>
      </w:pPr>
      <w:r>
        <w:rPr>
          <w:color w:val="auto"/>
          <w:highlight w:val="none"/>
        </w:rPr>
        <w:t>1</w:t>
      </w:r>
      <w:r>
        <w:rPr>
          <w:color w:val="auto"/>
          <w:spacing w:val="-9"/>
          <w:highlight w:val="none"/>
        </w:rPr>
        <w:t>、承包方供应的材料应按合同规定按时、按质、按量供应，必须附有产品合格证或质</w:t>
      </w:r>
      <w:r>
        <w:rPr>
          <w:color w:val="auto"/>
          <w:spacing w:val="-1"/>
          <w:highlight w:val="none"/>
        </w:rPr>
        <w:t>量检验证书才能用于工程。发包方采用抽检办法责成承包方分批次进行检测，费用由承包方</w:t>
      </w:r>
    </w:p>
    <w:p>
      <w:pPr>
        <w:spacing w:after="0" w:line="374" w:lineRule="auto"/>
        <w:rPr>
          <w:color w:val="auto"/>
          <w:highlight w:val="none"/>
        </w:rPr>
        <w:sectPr>
          <w:pgSz w:w="11910" w:h="16840"/>
          <w:pgMar w:top="1220" w:right="900" w:bottom="1200" w:left="900" w:header="0" w:footer="928" w:gutter="0"/>
        </w:sectPr>
      </w:pPr>
    </w:p>
    <w:p>
      <w:pPr>
        <w:pStyle w:val="7"/>
        <w:spacing w:before="1"/>
        <w:rPr>
          <w:color w:val="auto"/>
          <w:highlight w:val="none"/>
        </w:rPr>
      </w:pPr>
      <w:r>
        <w:rPr>
          <w:color w:val="auto"/>
          <w:highlight w:val="none"/>
        </w:rPr>
        <w:t>承担。</w:t>
      </w:r>
    </w:p>
    <w:p>
      <w:pPr>
        <w:pStyle w:val="7"/>
        <w:ind w:left="0"/>
        <w:rPr>
          <w:color w:val="auto"/>
          <w:highlight w:val="none"/>
        </w:rPr>
      </w:pPr>
      <w:r>
        <w:rPr>
          <w:color w:val="auto"/>
          <w:highlight w:val="none"/>
        </w:rPr>
        <w:br w:type="column"/>
      </w:r>
    </w:p>
    <w:p>
      <w:pPr>
        <w:pStyle w:val="7"/>
        <w:spacing w:before="173"/>
        <w:ind w:left="-40"/>
        <w:rPr>
          <w:color w:val="auto"/>
          <w:highlight w:val="none"/>
        </w:rPr>
      </w:pPr>
      <w:r>
        <w:rPr>
          <w:color w:val="auto"/>
          <w:highlight w:val="none"/>
        </w:rPr>
        <w:t>2、因材料质量不合格所造成的损失（包括仓库保管费）由材料采购方负责。</w:t>
      </w:r>
    </w:p>
    <w:p>
      <w:pPr>
        <w:pStyle w:val="7"/>
        <w:spacing w:before="173"/>
        <w:ind w:left="-40"/>
        <w:rPr>
          <w:color w:val="auto"/>
          <w:highlight w:val="none"/>
        </w:rPr>
      </w:pPr>
      <w:r>
        <w:rPr>
          <w:color w:val="auto"/>
          <w:highlight w:val="none"/>
        </w:rPr>
        <w:t>3</w:t>
      </w:r>
      <w:r>
        <w:rPr>
          <w:color w:val="auto"/>
          <w:spacing w:val="-16"/>
          <w:highlight w:val="none"/>
        </w:rPr>
        <w:t>、根据工程需要，经发包人代表签证，承包方可使用代用材料。因发包方原因使用时，</w:t>
      </w:r>
    </w:p>
    <w:p>
      <w:pPr>
        <w:spacing w:after="0"/>
        <w:rPr>
          <w:color w:val="auto"/>
          <w:highlight w:val="none"/>
        </w:rPr>
        <w:sectPr>
          <w:type w:val="continuous"/>
          <w:pgSz w:w="11910" w:h="16840"/>
          <w:pgMar w:top="1580" w:right="900" w:bottom="1120" w:left="900" w:header="720" w:footer="720" w:gutter="0"/>
          <w:cols w:equalWidth="0" w:num="2">
            <w:col w:w="953" w:space="40"/>
            <w:col w:w="9117"/>
          </w:cols>
        </w:sectPr>
      </w:pPr>
    </w:p>
    <w:p>
      <w:pPr>
        <w:pStyle w:val="7"/>
        <w:spacing w:before="3"/>
        <w:ind w:left="0"/>
        <w:rPr>
          <w:color w:val="auto"/>
          <w:sz w:val="8"/>
          <w:highlight w:val="none"/>
        </w:rPr>
      </w:pPr>
    </w:p>
    <w:p>
      <w:pPr>
        <w:pStyle w:val="7"/>
        <w:spacing w:before="67"/>
        <w:rPr>
          <w:color w:val="auto"/>
          <w:highlight w:val="none"/>
        </w:rPr>
      </w:pPr>
      <w:r>
        <w:rPr>
          <w:color w:val="auto"/>
          <w:highlight w:val="none"/>
        </w:rPr>
        <w:t>由发包方承担增加的经济支出，因承包方原因使用时，由承包方承担增加的费用。</w:t>
      </w:r>
    </w:p>
    <w:p>
      <w:pPr>
        <w:spacing w:after="0"/>
        <w:rPr>
          <w:color w:val="auto"/>
          <w:highlight w:val="none"/>
        </w:rPr>
        <w:sectPr>
          <w:type w:val="continuous"/>
          <w:pgSz w:w="11910" w:h="16840"/>
          <w:pgMar w:top="1580" w:right="900" w:bottom="1120" w:left="900" w:header="720" w:footer="720" w:gutter="0"/>
        </w:sectPr>
      </w:pPr>
    </w:p>
    <w:p>
      <w:pPr>
        <w:spacing w:before="38" w:line="374" w:lineRule="auto"/>
        <w:ind w:left="473" w:right="1111" w:firstLine="480"/>
        <w:jc w:val="left"/>
        <w:rPr>
          <w:b/>
          <w:color w:val="auto"/>
          <w:sz w:val="24"/>
          <w:highlight w:val="none"/>
        </w:rPr>
      </w:pPr>
      <w:r>
        <w:rPr>
          <w:color w:val="auto"/>
          <w:sz w:val="24"/>
          <w:highlight w:val="none"/>
        </w:rPr>
        <w:t>4、因材料供应不及时造成停工待料时，其停、窝工损失由供货责任方承担。</w:t>
      </w:r>
      <w:r>
        <w:rPr>
          <w:b/>
          <w:color w:val="auto"/>
          <w:sz w:val="24"/>
          <w:highlight w:val="none"/>
        </w:rPr>
        <w:t>五、工程质量、技术要求</w:t>
      </w:r>
    </w:p>
    <w:p>
      <w:pPr>
        <w:pStyle w:val="7"/>
        <w:spacing w:before="1"/>
        <w:ind w:left="953"/>
        <w:rPr>
          <w:color w:val="auto"/>
          <w:highlight w:val="none"/>
        </w:rPr>
      </w:pPr>
      <w:r>
        <w:rPr>
          <w:color w:val="auto"/>
          <w:highlight w:val="none"/>
        </w:rPr>
        <w:t>1、本工程质量等级要求合格。</w:t>
      </w:r>
    </w:p>
    <w:p>
      <w:pPr>
        <w:pStyle w:val="7"/>
        <w:spacing w:before="173" w:line="374" w:lineRule="auto"/>
        <w:ind w:right="232" w:firstLine="720"/>
        <w:jc w:val="both"/>
        <w:rPr>
          <w:color w:val="auto"/>
          <w:highlight w:val="none"/>
        </w:rPr>
      </w:pPr>
      <w:r>
        <w:rPr>
          <w:color w:val="auto"/>
          <w:highlight w:val="none"/>
        </w:rPr>
        <w:t>2</w:t>
      </w:r>
      <w:r>
        <w:rPr>
          <w:color w:val="auto"/>
          <w:spacing w:val="-10"/>
          <w:highlight w:val="none"/>
        </w:rPr>
        <w:t>、承包方必须按照招标要求及国家现行有关施工验收规范组织施工，建立健全质量保</w:t>
      </w:r>
      <w:r>
        <w:rPr>
          <w:color w:val="auto"/>
          <w:spacing w:val="-1"/>
          <w:highlight w:val="none"/>
        </w:rPr>
        <w:t>证体系，做到安全生产及文明施工，工程竣工验收质量达不到采购人要求的合格标准，发包</w:t>
      </w:r>
      <w:r>
        <w:rPr>
          <w:color w:val="auto"/>
          <w:highlight w:val="none"/>
        </w:rPr>
        <w:t>方有权罚没质量保证金。</w:t>
      </w:r>
    </w:p>
    <w:p>
      <w:pPr>
        <w:pStyle w:val="7"/>
        <w:spacing w:before="1" w:line="374" w:lineRule="auto"/>
        <w:ind w:right="230" w:firstLine="720"/>
        <w:rPr>
          <w:color w:val="auto"/>
          <w:highlight w:val="none"/>
        </w:rPr>
      </w:pPr>
      <w:r>
        <w:rPr>
          <w:color w:val="auto"/>
          <w:highlight w:val="none"/>
        </w:rPr>
        <w:t>3</w:t>
      </w:r>
      <w:r>
        <w:rPr>
          <w:color w:val="auto"/>
          <w:spacing w:val="-10"/>
          <w:highlight w:val="none"/>
        </w:rPr>
        <w:t>、本工程所需施工材料、设备均由承包方负责供应，必须满足设计要求和国家有关标</w:t>
      </w:r>
      <w:r>
        <w:rPr>
          <w:color w:val="auto"/>
          <w:highlight w:val="none"/>
        </w:rPr>
        <w:t>准，并应具有合格证等质量证明资料，经发包方人员认定后方可使用。</w:t>
      </w:r>
    </w:p>
    <w:p>
      <w:pPr>
        <w:pStyle w:val="7"/>
        <w:spacing w:line="374" w:lineRule="auto"/>
        <w:ind w:right="232" w:firstLine="720"/>
        <w:rPr>
          <w:color w:val="auto"/>
          <w:highlight w:val="none"/>
        </w:rPr>
      </w:pPr>
      <w:r>
        <w:rPr>
          <w:color w:val="auto"/>
          <w:highlight w:val="none"/>
        </w:rPr>
        <w:t>4</w:t>
      </w:r>
      <w:r>
        <w:rPr>
          <w:color w:val="auto"/>
          <w:spacing w:val="-9"/>
          <w:highlight w:val="none"/>
        </w:rPr>
        <w:t>、各工序应严格按施工组织设计进行质量控制，每道工序完工后，应进行检查，相关</w:t>
      </w:r>
      <w:r>
        <w:rPr>
          <w:color w:val="auto"/>
          <w:highlight w:val="none"/>
        </w:rPr>
        <w:t>专业工种之间应及时进行交接检验，并形成记录。未经检查验收不得进行下一道工序。</w:t>
      </w:r>
    </w:p>
    <w:p>
      <w:pPr>
        <w:pStyle w:val="7"/>
        <w:spacing w:before="1" w:line="374" w:lineRule="auto"/>
        <w:ind w:right="232" w:firstLine="720"/>
        <w:rPr>
          <w:color w:val="auto"/>
          <w:highlight w:val="none"/>
        </w:rPr>
      </w:pPr>
      <w:r>
        <w:rPr>
          <w:color w:val="auto"/>
          <w:highlight w:val="none"/>
        </w:rPr>
        <w:t>5</w:t>
      </w:r>
      <w:r>
        <w:rPr>
          <w:color w:val="auto"/>
          <w:spacing w:val="-10"/>
          <w:highlight w:val="none"/>
        </w:rPr>
        <w:t>、工程完工后，承包方应在组织有关人员进行自行检验评定后，向发包人提交工程验</w:t>
      </w:r>
      <w:r>
        <w:rPr>
          <w:color w:val="auto"/>
          <w:highlight w:val="none"/>
        </w:rPr>
        <w:t>收报告及相关施工资料。</w:t>
      </w:r>
    </w:p>
    <w:p>
      <w:pPr>
        <w:pStyle w:val="7"/>
        <w:spacing w:before="1" w:line="374" w:lineRule="auto"/>
        <w:ind w:right="230" w:firstLine="720"/>
        <w:jc w:val="both"/>
        <w:rPr>
          <w:color w:val="auto"/>
          <w:highlight w:val="none"/>
        </w:rPr>
      </w:pPr>
      <w:r>
        <w:rPr>
          <w:color w:val="auto"/>
          <w:highlight w:val="none"/>
        </w:rPr>
        <w:t>6</w:t>
      </w:r>
      <w:r>
        <w:rPr>
          <w:color w:val="auto"/>
          <w:spacing w:val="-10"/>
          <w:highlight w:val="none"/>
        </w:rPr>
        <w:t>、保修期依据国务院的《建设工程质量管理条例》第四十条规定，在保修范围和保修</w:t>
      </w:r>
      <w:r>
        <w:rPr>
          <w:color w:val="auto"/>
          <w:highlight w:val="none"/>
        </w:rPr>
        <w:t>期限内发生质量问题的，施工单位应当履行保修义务，并对造成的损失承担赔偿责任；保修期过后，如出现质量问题，亦应积极协助解决。</w:t>
      </w:r>
    </w:p>
    <w:p>
      <w:pPr>
        <w:pStyle w:val="7"/>
        <w:spacing w:before="1"/>
        <w:ind w:left="953"/>
        <w:rPr>
          <w:color w:val="auto"/>
          <w:highlight w:val="none"/>
        </w:rPr>
      </w:pPr>
      <w:r>
        <w:rPr>
          <w:color w:val="auto"/>
          <w:highlight w:val="none"/>
        </w:rPr>
        <w:t>7、服务承诺：要求具有完善的保修服务体系，高效的工作作风，高水平的技术维修人</w:t>
      </w:r>
    </w:p>
    <w:p>
      <w:pPr>
        <w:pStyle w:val="7"/>
        <w:spacing w:before="3"/>
        <w:ind w:left="0"/>
        <w:rPr>
          <w:color w:val="auto"/>
          <w:sz w:val="8"/>
          <w:highlight w:val="none"/>
        </w:rPr>
      </w:pPr>
    </w:p>
    <w:p>
      <w:pPr>
        <w:pStyle w:val="7"/>
        <w:spacing w:before="67"/>
        <w:rPr>
          <w:color w:val="auto"/>
          <w:highlight w:val="none"/>
        </w:rPr>
      </w:pPr>
      <w:r>
        <w:rPr>
          <w:color w:val="auto"/>
          <w:highlight w:val="none"/>
        </w:rPr>
        <w:t>员。</w:t>
      </w:r>
    </w:p>
    <w:p>
      <w:pPr>
        <w:spacing w:before="173" w:line="374" w:lineRule="auto"/>
        <w:ind w:left="953" w:right="7222" w:hanging="480"/>
        <w:jc w:val="left"/>
        <w:rPr>
          <w:color w:val="auto"/>
          <w:sz w:val="24"/>
          <w:highlight w:val="none"/>
        </w:rPr>
      </w:pPr>
      <w:r>
        <w:rPr>
          <w:b/>
          <w:color w:val="auto"/>
          <w:sz w:val="24"/>
          <w:highlight w:val="none"/>
        </w:rPr>
        <w:t>六、工程施工配合要求</w:t>
      </w:r>
      <w:r>
        <w:rPr>
          <w:color w:val="auto"/>
          <w:sz w:val="24"/>
          <w:highlight w:val="none"/>
        </w:rPr>
        <w:t>1、发包方责任：</w:t>
      </w:r>
    </w:p>
    <w:p>
      <w:pPr>
        <w:pStyle w:val="25"/>
        <w:numPr>
          <w:ilvl w:val="1"/>
          <w:numId w:val="34"/>
        </w:numPr>
        <w:tabs>
          <w:tab w:val="left" w:pos="1434"/>
        </w:tabs>
        <w:spacing w:before="0" w:after="0" w:line="240" w:lineRule="auto"/>
        <w:ind w:left="1433" w:right="0" w:hanging="481"/>
        <w:jc w:val="left"/>
        <w:rPr>
          <w:color w:val="auto"/>
          <w:sz w:val="24"/>
          <w:highlight w:val="none"/>
        </w:rPr>
      </w:pPr>
      <w:r>
        <w:rPr>
          <w:color w:val="auto"/>
          <w:sz w:val="24"/>
          <w:highlight w:val="none"/>
        </w:rPr>
        <w:t>负责工程的总体协调和管理；</w:t>
      </w:r>
    </w:p>
    <w:p>
      <w:pPr>
        <w:pStyle w:val="25"/>
        <w:numPr>
          <w:ilvl w:val="1"/>
          <w:numId w:val="34"/>
        </w:numPr>
        <w:tabs>
          <w:tab w:val="left" w:pos="1434"/>
        </w:tabs>
        <w:spacing w:before="173" w:after="0" w:line="240" w:lineRule="auto"/>
        <w:ind w:left="1433" w:right="0" w:hanging="481"/>
        <w:jc w:val="left"/>
        <w:rPr>
          <w:color w:val="auto"/>
          <w:sz w:val="24"/>
          <w:highlight w:val="none"/>
        </w:rPr>
      </w:pPr>
      <w:r>
        <w:rPr>
          <w:color w:val="auto"/>
          <w:sz w:val="24"/>
          <w:highlight w:val="none"/>
        </w:rPr>
        <w:t>确认承包人的总体方案和施工方案；</w:t>
      </w:r>
    </w:p>
    <w:p>
      <w:pPr>
        <w:pStyle w:val="25"/>
        <w:numPr>
          <w:ilvl w:val="1"/>
          <w:numId w:val="34"/>
        </w:numPr>
        <w:tabs>
          <w:tab w:val="left" w:pos="1434"/>
        </w:tabs>
        <w:spacing w:before="172" w:after="0" w:line="240" w:lineRule="auto"/>
        <w:ind w:left="1433" w:right="0" w:hanging="481"/>
        <w:jc w:val="left"/>
        <w:rPr>
          <w:color w:val="auto"/>
          <w:sz w:val="24"/>
          <w:highlight w:val="none"/>
        </w:rPr>
      </w:pPr>
      <w:r>
        <w:rPr>
          <w:color w:val="auto"/>
          <w:sz w:val="24"/>
          <w:highlight w:val="none"/>
        </w:rPr>
        <w:t>审查承包人的施工人员并办理出入证；</w:t>
      </w:r>
    </w:p>
    <w:p>
      <w:pPr>
        <w:pStyle w:val="25"/>
        <w:numPr>
          <w:ilvl w:val="1"/>
          <w:numId w:val="34"/>
        </w:numPr>
        <w:tabs>
          <w:tab w:val="left" w:pos="1434"/>
        </w:tabs>
        <w:spacing w:before="173" w:after="0" w:line="240" w:lineRule="auto"/>
        <w:ind w:left="1433" w:right="0" w:hanging="481"/>
        <w:jc w:val="left"/>
        <w:rPr>
          <w:color w:val="auto"/>
          <w:sz w:val="24"/>
          <w:highlight w:val="none"/>
        </w:rPr>
      </w:pPr>
      <w:r>
        <w:rPr>
          <w:color w:val="auto"/>
          <w:sz w:val="24"/>
          <w:highlight w:val="none"/>
        </w:rPr>
        <w:t>协助承包人协调水、电及临时设施等相关事宜，为施工创造条件。</w:t>
      </w:r>
    </w:p>
    <w:p>
      <w:pPr>
        <w:pStyle w:val="25"/>
        <w:numPr>
          <w:ilvl w:val="1"/>
          <w:numId w:val="34"/>
        </w:numPr>
        <w:tabs>
          <w:tab w:val="left" w:pos="1434"/>
        </w:tabs>
        <w:spacing w:before="172" w:after="0" w:line="240" w:lineRule="auto"/>
        <w:ind w:left="1433" w:right="0" w:hanging="481"/>
        <w:jc w:val="left"/>
        <w:rPr>
          <w:color w:val="auto"/>
          <w:sz w:val="24"/>
          <w:highlight w:val="none"/>
        </w:rPr>
      </w:pPr>
      <w:r>
        <w:rPr>
          <w:color w:val="auto"/>
          <w:sz w:val="24"/>
          <w:highlight w:val="none"/>
        </w:rPr>
        <w:t>组织对施工材料及总体工程进行验收。</w:t>
      </w:r>
    </w:p>
    <w:p>
      <w:pPr>
        <w:pStyle w:val="7"/>
        <w:spacing w:before="173"/>
        <w:ind w:left="953"/>
        <w:rPr>
          <w:color w:val="auto"/>
          <w:highlight w:val="none"/>
        </w:rPr>
      </w:pPr>
      <w:r>
        <w:rPr>
          <w:color w:val="auto"/>
          <w:highlight w:val="none"/>
        </w:rPr>
        <w:t>2、承包方责任：</w:t>
      </w:r>
    </w:p>
    <w:p>
      <w:pPr>
        <w:pStyle w:val="25"/>
        <w:numPr>
          <w:ilvl w:val="1"/>
          <w:numId w:val="35"/>
        </w:numPr>
        <w:tabs>
          <w:tab w:val="left" w:pos="1434"/>
        </w:tabs>
        <w:spacing w:before="173" w:after="0" w:line="240" w:lineRule="auto"/>
        <w:ind w:left="1433" w:right="0" w:hanging="481"/>
        <w:jc w:val="left"/>
        <w:rPr>
          <w:color w:val="auto"/>
          <w:sz w:val="24"/>
          <w:highlight w:val="none"/>
        </w:rPr>
      </w:pPr>
      <w:r>
        <w:rPr>
          <w:color w:val="auto"/>
          <w:sz w:val="24"/>
          <w:highlight w:val="none"/>
        </w:rPr>
        <w:t>负责工程施工组织设计，并经发包方确认；</w:t>
      </w:r>
    </w:p>
    <w:p>
      <w:pPr>
        <w:pStyle w:val="25"/>
        <w:numPr>
          <w:ilvl w:val="1"/>
          <w:numId w:val="35"/>
        </w:numPr>
        <w:tabs>
          <w:tab w:val="left" w:pos="1434"/>
        </w:tabs>
        <w:spacing w:before="172" w:after="0" w:line="374" w:lineRule="auto"/>
        <w:ind w:left="232" w:right="236" w:firstLine="720"/>
        <w:jc w:val="left"/>
        <w:rPr>
          <w:color w:val="auto"/>
          <w:sz w:val="24"/>
          <w:highlight w:val="none"/>
        </w:rPr>
      </w:pPr>
      <w:r>
        <w:rPr>
          <w:color w:val="auto"/>
          <w:spacing w:val="-1"/>
          <w:sz w:val="24"/>
          <w:highlight w:val="none"/>
        </w:rPr>
        <w:t>按照响应文件中确定的施工进度计划和工程方案进行施工，确保按期完工，工程</w:t>
      </w:r>
      <w:r>
        <w:rPr>
          <w:color w:val="auto"/>
          <w:sz w:val="24"/>
          <w:highlight w:val="none"/>
        </w:rPr>
        <w:t>计划及进度调整必须征得发包人同意。</w:t>
      </w:r>
    </w:p>
    <w:p>
      <w:pPr>
        <w:pStyle w:val="25"/>
        <w:numPr>
          <w:ilvl w:val="1"/>
          <w:numId w:val="35"/>
        </w:numPr>
        <w:tabs>
          <w:tab w:val="left" w:pos="1434"/>
        </w:tabs>
        <w:spacing w:before="1" w:after="0" w:line="374" w:lineRule="auto"/>
        <w:ind w:left="232" w:right="236" w:firstLine="720"/>
        <w:jc w:val="left"/>
        <w:rPr>
          <w:color w:val="auto"/>
          <w:sz w:val="24"/>
          <w:highlight w:val="none"/>
        </w:rPr>
      </w:pPr>
      <w:r>
        <w:rPr>
          <w:color w:val="auto"/>
          <w:spacing w:val="-1"/>
          <w:sz w:val="24"/>
          <w:highlight w:val="none"/>
        </w:rPr>
        <w:t>服从发包方的管理，施工人员必须经发包方审定，遵守发包方的有关规定，服从</w:t>
      </w:r>
      <w:r>
        <w:rPr>
          <w:color w:val="auto"/>
          <w:sz w:val="24"/>
          <w:highlight w:val="none"/>
        </w:rPr>
        <w:t>管理，文明施工。</w:t>
      </w:r>
    </w:p>
    <w:p>
      <w:pPr>
        <w:spacing w:after="0" w:line="374" w:lineRule="auto"/>
        <w:jc w:val="left"/>
        <w:rPr>
          <w:color w:val="auto"/>
          <w:sz w:val="24"/>
          <w:highlight w:val="none"/>
        </w:rPr>
        <w:sectPr>
          <w:pgSz w:w="11910" w:h="16840"/>
          <w:pgMar w:top="1220" w:right="900" w:bottom="1200" w:left="900" w:header="0" w:footer="928" w:gutter="0"/>
        </w:sectPr>
      </w:pPr>
    </w:p>
    <w:p>
      <w:pPr>
        <w:pStyle w:val="25"/>
        <w:numPr>
          <w:ilvl w:val="1"/>
          <w:numId w:val="35"/>
        </w:numPr>
        <w:tabs>
          <w:tab w:val="left" w:pos="1434"/>
        </w:tabs>
        <w:spacing w:before="38" w:after="0" w:line="240" w:lineRule="auto"/>
        <w:ind w:left="1433" w:right="0" w:hanging="481"/>
        <w:jc w:val="left"/>
        <w:rPr>
          <w:color w:val="auto"/>
          <w:sz w:val="24"/>
          <w:highlight w:val="none"/>
        </w:rPr>
      </w:pPr>
      <w:r>
        <w:rPr>
          <w:color w:val="auto"/>
          <w:sz w:val="24"/>
          <w:highlight w:val="none"/>
        </w:rPr>
        <w:t>负责施工区域内的安全、保卫及消防工作。</w:t>
      </w:r>
    </w:p>
    <w:p>
      <w:pPr>
        <w:pStyle w:val="25"/>
        <w:numPr>
          <w:ilvl w:val="1"/>
          <w:numId w:val="35"/>
        </w:numPr>
        <w:tabs>
          <w:tab w:val="left" w:pos="1434"/>
        </w:tabs>
        <w:spacing w:before="173" w:after="0" w:line="240" w:lineRule="auto"/>
        <w:ind w:left="1433" w:right="0" w:hanging="481"/>
        <w:jc w:val="left"/>
        <w:rPr>
          <w:color w:val="auto"/>
          <w:sz w:val="24"/>
          <w:highlight w:val="none"/>
        </w:rPr>
      </w:pPr>
      <w:r>
        <w:rPr>
          <w:color w:val="auto"/>
          <w:sz w:val="24"/>
          <w:highlight w:val="none"/>
        </w:rPr>
        <w:t>负责交工前的产品保护工作。</w:t>
      </w:r>
    </w:p>
    <w:p>
      <w:pPr>
        <w:pStyle w:val="25"/>
        <w:numPr>
          <w:ilvl w:val="1"/>
          <w:numId w:val="35"/>
        </w:numPr>
        <w:tabs>
          <w:tab w:val="left" w:pos="1434"/>
        </w:tabs>
        <w:spacing w:before="173" w:after="0" w:line="240" w:lineRule="auto"/>
        <w:ind w:left="1433" w:right="0" w:hanging="481"/>
        <w:jc w:val="left"/>
        <w:rPr>
          <w:color w:val="auto"/>
          <w:sz w:val="24"/>
          <w:highlight w:val="none"/>
        </w:rPr>
      </w:pPr>
      <w:r>
        <w:rPr>
          <w:color w:val="auto"/>
          <w:sz w:val="24"/>
          <w:highlight w:val="none"/>
        </w:rPr>
        <w:t>做好安排，合理调度人员，保证连续施工，确保按期完工。</w:t>
      </w:r>
    </w:p>
    <w:p>
      <w:pPr>
        <w:pStyle w:val="25"/>
        <w:numPr>
          <w:ilvl w:val="1"/>
          <w:numId w:val="35"/>
        </w:numPr>
        <w:tabs>
          <w:tab w:val="left" w:pos="1434"/>
        </w:tabs>
        <w:spacing w:before="172" w:after="0" w:line="374" w:lineRule="auto"/>
        <w:ind w:left="473" w:right="2431" w:firstLine="480"/>
        <w:jc w:val="left"/>
        <w:rPr>
          <w:b/>
          <w:color w:val="auto"/>
          <w:sz w:val="24"/>
          <w:highlight w:val="none"/>
        </w:rPr>
      </w:pPr>
      <w:r>
        <w:rPr>
          <w:color w:val="auto"/>
          <w:spacing w:val="-1"/>
          <w:sz w:val="24"/>
          <w:highlight w:val="none"/>
        </w:rPr>
        <w:t>施工期间水、电等相关事宜的协调及费用由中标单位承担。</w:t>
      </w:r>
      <w:r>
        <w:rPr>
          <w:b/>
          <w:color w:val="auto"/>
          <w:sz w:val="24"/>
          <w:highlight w:val="none"/>
        </w:rPr>
        <w:t>七、质量验收标准：按国家及相关地方政策规范执行。</w:t>
      </w:r>
    </w:p>
    <w:p>
      <w:pPr>
        <w:pStyle w:val="6"/>
        <w:ind w:left="473"/>
        <w:rPr>
          <w:color w:val="auto"/>
          <w:highlight w:val="none"/>
        </w:rPr>
      </w:pPr>
      <w:r>
        <w:rPr>
          <w:color w:val="auto"/>
          <w:highlight w:val="none"/>
        </w:rPr>
        <w:t>八、附件：</w:t>
      </w:r>
    </w:p>
    <w:p>
      <w:pPr>
        <w:spacing w:before="28"/>
        <w:ind w:left="715" w:right="0" w:firstLine="0"/>
        <w:jc w:val="left"/>
        <w:rPr>
          <w:b/>
          <w:color w:val="auto"/>
          <w:sz w:val="24"/>
          <w:highlight w:val="none"/>
        </w:rPr>
      </w:pPr>
      <w:r>
        <w:rPr>
          <w:b/>
          <w:color w:val="auto"/>
          <w:sz w:val="24"/>
          <w:highlight w:val="none"/>
        </w:rPr>
        <w:t>1、编制说明：</w:t>
      </w:r>
    </w:p>
    <w:p>
      <w:pPr>
        <w:pStyle w:val="7"/>
        <w:spacing w:before="12"/>
        <w:ind w:left="0"/>
        <w:rPr>
          <w:b/>
          <w:color w:val="auto"/>
          <w:sz w:val="20"/>
          <w:highlight w:val="none"/>
        </w:rPr>
      </w:pPr>
    </w:p>
    <w:p>
      <w:pPr>
        <w:pStyle w:val="7"/>
        <w:ind w:left="953"/>
        <w:rPr>
          <w:color w:val="auto"/>
          <w:highlight w:val="none"/>
        </w:rPr>
      </w:pPr>
      <w:r>
        <w:rPr>
          <w:color w:val="auto"/>
          <w:highlight w:val="none"/>
        </w:rPr>
        <w:t>一、工程概况</w:t>
      </w:r>
    </w:p>
    <w:p>
      <w:pPr>
        <w:pStyle w:val="7"/>
        <w:spacing w:before="173" w:line="374" w:lineRule="auto"/>
        <w:ind w:right="210" w:firstLine="720"/>
        <w:jc w:val="both"/>
        <w:rPr>
          <w:color w:val="auto"/>
          <w:highlight w:val="none"/>
        </w:rPr>
      </w:pPr>
      <w:r>
        <w:rPr>
          <w:rFonts w:hint="eastAsia"/>
          <w:color w:val="auto"/>
          <w:spacing w:val="2"/>
          <w:highlight w:val="none"/>
          <w:lang w:eastAsia="zh-CN"/>
        </w:rPr>
        <w:t>由预算公司</w:t>
      </w:r>
      <w:r>
        <w:rPr>
          <w:color w:val="auto"/>
          <w:spacing w:val="2"/>
          <w:highlight w:val="none"/>
        </w:rPr>
        <w:t>对</w:t>
      </w:r>
      <w:r>
        <w:rPr>
          <w:rFonts w:hint="eastAsia"/>
          <w:color w:val="auto"/>
          <w:highlight w:val="none"/>
          <w:lang w:eastAsia="zh-CN"/>
        </w:rPr>
        <w:t>紫阳县向阳镇院墙村龚家院子至显钟村公路改建工程</w:t>
      </w:r>
      <w:r>
        <w:rPr>
          <w:color w:val="auto"/>
          <w:highlight w:val="none"/>
        </w:rPr>
        <w:t>进行施工图预算及工程量清单编制，该工程实施地点位于紫阳县向阳镇，建设内容为挖土石方、弃方运输、路基填筑、M7.5</w:t>
      </w:r>
      <w:r>
        <w:rPr>
          <w:color w:val="auto"/>
          <w:spacing w:val="-5"/>
          <w:highlight w:val="none"/>
        </w:rPr>
        <w:t xml:space="preserve"> 浆砌片石挡土墙、</w:t>
      </w:r>
      <w:r>
        <w:rPr>
          <w:rFonts w:hint="eastAsia"/>
          <w:color w:val="auto"/>
          <w:spacing w:val="-5"/>
          <w:highlight w:val="none"/>
          <w:lang w:eastAsia="zh-CN"/>
        </w:rPr>
        <w:t>单孔</w:t>
      </w:r>
      <w:r>
        <w:rPr>
          <w:color w:val="auto"/>
          <w:spacing w:val="-9"/>
          <w:highlight w:val="none"/>
        </w:rPr>
        <w:t>钢筋混凝土圆管涵</w:t>
      </w:r>
      <w:r>
        <w:rPr>
          <w:color w:val="auto"/>
          <w:highlight w:val="none"/>
        </w:rPr>
        <w:t>等。</w:t>
      </w:r>
    </w:p>
    <w:p>
      <w:pPr>
        <w:pStyle w:val="7"/>
        <w:spacing w:before="2"/>
        <w:ind w:left="953"/>
        <w:rPr>
          <w:color w:val="auto"/>
          <w:highlight w:val="none"/>
        </w:rPr>
      </w:pPr>
      <w:r>
        <w:rPr>
          <w:color w:val="auto"/>
          <w:highlight w:val="none"/>
        </w:rPr>
        <w:t>编制依据</w:t>
      </w:r>
    </w:p>
    <w:p>
      <w:pPr>
        <w:pStyle w:val="7"/>
        <w:spacing w:before="172"/>
        <w:ind w:left="953"/>
        <w:rPr>
          <w:color w:val="auto"/>
          <w:highlight w:val="none"/>
        </w:rPr>
      </w:pPr>
      <w:r>
        <w:rPr>
          <w:color w:val="auto"/>
          <w:highlight w:val="none"/>
        </w:rPr>
        <w:t>1、交通运输部 2019 年第 86 号公布的《公路工程建设项目概算预算编制办法》</w:t>
      </w:r>
    </w:p>
    <w:p>
      <w:pPr>
        <w:pStyle w:val="7"/>
        <w:spacing w:before="173"/>
        <w:rPr>
          <w:color w:val="auto"/>
          <w:highlight w:val="none"/>
        </w:rPr>
      </w:pPr>
      <w:r>
        <w:rPr>
          <w:color w:val="auto"/>
          <w:highlight w:val="none"/>
        </w:rPr>
        <w:t>（JTG-3830-2018）。</w:t>
      </w:r>
    </w:p>
    <w:p>
      <w:pPr>
        <w:pStyle w:val="7"/>
        <w:spacing w:before="172" w:line="374" w:lineRule="auto"/>
        <w:ind w:right="231" w:firstLine="720"/>
        <w:rPr>
          <w:color w:val="auto"/>
          <w:highlight w:val="none"/>
        </w:rPr>
      </w:pPr>
      <w:r>
        <w:rPr>
          <w:color w:val="auto"/>
          <w:spacing w:val="-9"/>
          <w:highlight w:val="none"/>
        </w:rPr>
        <w:t xml:space="preserve">交通运输部 </w:t>
      </w:r>
      <w:r>
        <w:rPr>
          <w:color w:val="auto"/>
          <w:highlight w:val="none"/>
        </w:rPr>
        <w:t>2019</w:t>
      </w:r>
      <w:r>
        <w:rPr>
          <w:color w:val="auto"/>
          <w:spacing w:val="-26"/>
          <w:highlight w:val="none"/>
        </w:rPr>
        <w:t xml:space="preserve"> 年第 </w:t>
      </w:r>
      <w:r>
        <w:rPr>
          <w:color w:val="auto"/>
          <w:highlight w:val="none"/>
        </w:rPr>
        <w:t>86</w:t>
      </w:r>
      <w:r>
        <w:rPr>
          <w:color w:val="auto"/>
          <w:spacing w:val="-8"/>
          <w:highlight w:val="none"/>
        </w:rPr>
        <w:t xml:space="preserve"> 号公布的《公路工程预算定额》</w:t>
      </w:r>
      <w:r>
        <w:rPr>
          <w:color w:val="auto"/>
          <w:highlight w:val="none"/>
        </w:rPr>
        <w:t>（JTG/T3832-2018）</w:t>
      </w:r>
      <w:r>
        <w:rPr>
          <w:color w:val="auto"/>
          <w:spacing w:val="-5"/>
          <w:highlight w:val="none"/>
        </w:rPr>
        <w:t>、《公</w:t>
      </w:r>
      <w:r>
        <w:rPr>
          <w:color w:val="auto"/>
          <w:highlight w:val="none"/>
        </w:rPr>
        <w:t>路工程机械台班费用定额》（JTG/T3833-2018）。</w:t>
      </w:r>
    </w:p>
    <w:p>
      <w:pPr>
        <w:pStyle w:val="7"/>
        <w:spacing w:before="1"/>
        <w:ind w:left="953"/>
        <w:rPr>
          <w:color w:val="auto"/>
          <w:highlight w:val="none"/>
        </w:rPr>
      </w:pPr>
      <w:r>
        <w:rPr>
          <w:color w:val="auto"/>
          <w:highlight w:val="none"/>
        </w:rPr>
        <w:t>交通运输部 2019 年第 26 号关于调整《公路工程建设项目概算预算编制办法》</w:t>
      </w:r>
    </w:p>
    <w:p>
      <w:pPr>
        <w:pStyle w:val="7"/>
        <w:spacing w:before="173"/>
        <w:rPr>
          <w:color w:val="auto"/>
          <w:highlight w:val="none"/>
        </w:rPr>
      </w:pPr>
      <w:r>
        <w:rPr>
          <w:color w:val="auto"/>
          <w:highlight w:val="none"/>
        </w:rPr>
        <w:t>（JTG3830-2018）中“税金”有关规定的公告。</w:t>
      </w:r>
    </w:p>
    <w:p>
      <w:pPr>
        <w:pStyle w:val="7"/>
        <w:spacing w:before="172" w:line="374" w:lineRule="auto"/>
        <w:ind w:left="953" w:right="115"/>
        <w:rPr>
          <w:color w:val="auto"/>
          <w:highlight w:val="none"/>
        </w:rPr>
      </w:pPr>
      <w:r>
        <w:rPr>
          <w:color w:val="auto"/>
          <w:highlight w:val="none"/>
        </w:rPr>
        <w:t>陕交发[2019]93</w:t>
      </w:r>
      <w:r>
        <w:rPr>
          <w:color w:val="auto"/>
          <w:spacing w:val="-20"/>
          <w:highlight w:val="none"/>
        </w:rPr>
        <w:t xml:space="preserve"> 号关于印发《</w:t>
      </w:r>
      <w:r>
        <w:rPr>
          <w:color w:val="auto"/>
          <w:highlight w:val="none"/>
        </w:rPr>
        <w:t>（公路工程建设项目预算编制办法</w:t>
      </w:r>
      <w:r>
        <w:rPr>
          <w:color w:val="auto"/>
          <w:spacing w:val="-36"/>
          <w:highlight w:val="none"/>
        </w:rPr>
        <w:t>）</w:t>
      </w:r>
      <w:r>
        <w:rPr>
          <w:color w:val="auto"/>
          <w:spacing w:val="-8"/>
          <w:highlight w:val="none"/>
        </w:rPr>
        <w:t>补充规定》的通知。</w:t>
      </w:r>
      <w:r>
        <w:rPr>
          <w:color w:val="auto"/>
          <w:highlight w:val="none"/>
        </w:rPr>
        <w:t>主要材料价格按照《安康工程造价管理信息》202</w:t>
      </w:r>
      <w:r>
        <w:rPr>
          <w:rFonts w:hint="eastAsia"/>
          <w:color w:val="auto"/>
          <w:highlight w:val="none"/>
          <w:lang w:val="en-US" w:eastAsia="zh-CN"/>
        </w:rPr>
        <w:t>1</w:t>
      </w:r>
      <w:r>
        <w:rPr>
          <w:color w:val="auto"/>
          <w:spacing w:val="-15"/>
          <w:highlight w:val="none"/>
        </w:rPr>
        <w:t xml:space="preserve"> 年第</w:t>
      </w:r>
      <w:r>
        <w:rPr>
          <w:rFonts w:hint="eastAsia"/>
          <w:color w:val="auto"/>
          <w:spacing w:val="-15"/>
          <w:highlight w:val="none"/>
          <w:lang w:val="en-US" w:eastAsia="zh-CN"/>
        </w:rPr>
        <w:t xml:space="preserve"> </w:t>
      </w:r>
      <w:r>
        <w:rPr>
          <w:color w:val="auto"/>
          <w:highlight w:val="none"/>
        </w:rPr>
        <w:t>2</w:t>
      </w:r>
      <w:r>
        <w:rPr>
          <w:color w:val="auto"/>
          <w:spacing w:val="-6"/>
          <w:highlight w:val="none"/>
        </w:rPr>
        <w:t xml:space="preserve"> 期紫阳县材料价，并计算</w:t>
      </w:r>
    </w:p>
    <w:p>
      <w:pPr>
        <w:pStyle w:val="7"/>
        <w:spacing w:before="1" w:line="374" w:lineRule="auto"/>
        <w:ind w:left="953" w:right="3151" w:hanging="721"/>
        <w:rPr>
          <w:color w:val="auto"/>
          <w:highlight w:val="none"/>
        </w:rPr>
      </w:pPr>
      <w:r>
        <w:rPr>
          <w:color w:val="auto"/>
          <w:highlight w:val="none"/>
        </w:rPr>
        <w:t>相关运杂费组成，没有的参照同期《陕西公路工程造价信息》。补充说明</w:t>
      </w:r>
    </w:p>
    <w:p>
      <w:pPr>
        <w:pStyle w:val="7"/>
        <w:spacing w:before="1"/>
        <w:ind w:left="953"/>
        <w:rPr>
          <w:color w:val="auto"/>
          <w:highlight w:val="none"/>
        </w:rPr>
      </w:pPr>
      <w:r>
        <w:rPr>
          <w:color w:val="auto"/>
          <w:highlight w:val="none"/>
        </w:rPr>
        <w:t>本预算使用同望公路工程预算软件编制。</w:t>
      </w:r>
    </w:p>
    <w:p>
      <w:pPr>
        <w:spacing w:after="0"/>
        <w:rPr>
          <w:color w:val="auto"/>
          <w:highlight w:val="none"/>
        </w:rPr>
        <w:sectPr>
          <w:pgSz w:w="11910" w:h="16840"/>
          <w:pgMar w:top="1220" w:right="900" w:bottom="1200" w:left="900" w:header="0" w:footer="928" w:gutter="0"/>
        </w:sectPr>
      </w:pPr>
    </w:p>
    <w:p>
      <w:pPr>
        <w:pStyle w:val="6"/>
        <w:spacing w:before="54"/>
        <w:ind w:left="715"/>
        <w:rPr>
          <w:color w:val="auto"/>
          <w:highlight w:val="none"/>
        </w:rPr>
      </w:pPr>
      <w:r>
        <w:rPr>
          <w:color w:val="auto"/>
          <w:highlight w:val="none"/>
        </w:rPr>
        <w:t>2、工程量清单：</w:t>
      </w:r>
    </w:p>
    <w:p>
      <w:pPr>
        <w:pStyle w:val="7"/>
        <w:spacing w:before="2"/>
        <w:ind w:left="0"/>
        <w:rPr>
          <w:b/>
          <w:color w:val="auto"/>
          <w:sz w:val="17"/>
          <w:highlight w:val="none"/>
        </w:rPr>
      </w:pPr>
    </w:p>
    <w:p>
      <w:pPr>
        <w:spacing w:before="66"/>
        <w:ind w:left="0" w:right="1" w:firstLine="0"/>
        <w:jc w:val="center"/>
        <w:rPr>
          <w:b/>
          <w:color w:val="auto"/>
          <w:sz w:val="24"/>
          <w:highlight w:val="none"/>
        </w:rPr>
      </w:pPr>
      <w:r>
        <w:rPr>
          <w:rFonts w:hint="eastAsia"/>
          <w:b/>
          <w:color w:val="auto"/>
          <w:sz w:val="24"/>
          <w:highlight w:val="none"/>
          <w:lang w:eastAsia="zh-CN"/>
        </w:rPr>
        <w:t>紫阳县向阳镇院墙村龚家院子至显钟村公路改建工程</w:t>
      </w:r>
      <w:r>
        <w:rPr>
          <w:b/>
          <w:color w:val="auto"/>
          <w:sz w:val="24"/>
          <w:highlight w:val="none"/>
        </w:rPr>
        <w:t>工程量清单</w:t>
      </w:r>
    </w:p>
    <w:p>
      <w:pPr>
        <w:pStyle w:val="7"/>
        <w:spacing w:before="12"/>
        <w:ind w:left="0"/>
        <w:rPr>
          <w:b/>
          <w:color w:val="auto"/>
          <w:sz w:val="20"/>
          <w:highlight w:val="none"/>
        </w:rPr>
      </w:pPr>
    </w:p>
    <w:tbl>
      <w:tblPr>
        <w:tblStyle w:val="10"/>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733"/>
        <w:gridCol w:w="2983"/>
        <w:gridCol w:w="1"/>
        <w:gridCol w:w="470"/>
        <w:gridCol w:w="2"/>
        <w:gridCol w:w="970"/>
        <w:gridCol w:w="3"/>
        <w:gridCol w:w="885"/>
        <w:gridCol w:w="4"/>
        <w:gridCol w:w="1081"/>
        <w:gridCol w:w="5"/>
        <w:gridCol w:w="706"/>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683" w:hRule="atLeast"/>
        </w:trPr>
        <w:tc>
          <w:tcPr>
            <w:tcW w:w="1807" w:type="dxa"/>
          </w:tcPr>
          <w:p>
            <w:pPr>
              <w:pStyle w:val="26"/>
              <w:spacing w:before="7"/>
              <w:rPr>
                <w:b/>
                <w:color w:val="auto"/>
                <w:sz w:val="32"/>
                <w:highlight w:val="none"/>
              </w:rPr>
            </w:pPr>
          </w:p>
          <w:p>
            <w:pPr>
              <w:pStyle w:val="26"/>
              <w:ind w:left="297"/>
              <w:rPr>
                <w:b/>
                <w:color w:val="auto"/>
                <w:sz w:val="24"/>
                <w:highlight w:val="none"/>
              </w:rPr>
            </w:pPr>
            <w:r>
              <w:rPr>
                <w:b/>
                <w:color w:val="auto"/>
                <w:sz w:val="24"/>
                <w:highlight w:val="none"/>
              </w:rPr>
              <w:t>章次及名称</w:t>
            </w:r>
          </w:p>
        </w:tc>
        <w:tc>
          <w:tcPr>
            <w:tcW w:w="733" w:type="dxa"/>
          </w:tcPr>
          <w:p>
            <w:pPr>
              <w:pStyle w:val="26"/>
              <w:rPr>
                <w:b/>
                <w:color w:val="auto"/>
                <w:sz w:val="22"/>
                <w:highlight w:val="none"/>
              </w:rPr>
            </w:pPr>
          </w:p>
          <w:p>
            <w:pPr>
              <w:pStyle w:val="26"/>
              <w:spacing w:before="150"/>
              <w:ind w:left="15" w:right="10"/>
              <w:jc w:val="center"/>
              <w:rPr>
                <w:b/>
                <w:color w:val="auto"/>
                <w:sz w:val="22"/>
                <w:highlight w:val="none"/>
              </w:rPr>
            </w:pPr>
            <w:r>
              <w:rPr>
                <w:b/>
                <w:color w:val="auto"/>
                <w:sz w:val="22"/>
                <w:highlight w:val="none"/>
              </w:rPr>
              <w:t>子目号</w:t>
            </w:r>
          </w:p>
        </w:tc>
        <w:tc>
          <w:tcPr>
            <w:tcW w:w="2983" w:type="dxa"/>
          </w:tcPr>
          <w:p>
            <w:pPr>
              <w:pStyle w:val="26"/>
              <w:rPr>
                <w:b/>
                <w:color w:val="auto"/>
                <w:sz w:val="22"/>
                <w:highlight w:val="none"/>
              </w:rPr>
            </w:pPr>
          </w:p>
          <w:p>
            <w:pPr>
              <w:pStyle w:val="26"/>
              <w:spacing w:before="150"/>
              <w:ind w:left="1252" w:right="1241"/>
              <w:jc w:val="center"/>
              <w:rPr>
                <w:b/>
                <w:color w:val="auto"/>
                <w:sz w:val="22"/>
                <w:highlight w:val="none"/>
              </w:rPr>
            </w:pPr>
            <w:r>
              <w:rPr>
                <w:b/>
                <w:color w:val="auto"/>
                <w:sz w:val="22"/>
                <w:highlight w:val="none"/>
              </w:rPr>
              <w:t>名称</w:t>
            </w:r>
          </w:p>
        </w:tc>
        <w:tc>
          <w:tcPr>
            <w:tcW w:w="471" w:type="dxa"/>
            <w:gridSpan w:val="2"/>
          </w:tcPr>
          <w:p>
            <w:pPr>
              <w:pStyle w:val="26"/>
              <w:rPr>
                <w:b/>
                <w:color w:val="auto"/>
                <w:sz w:val="22"/>
                <w:highlight w:val="none"/>
              </w:rPr>
            </w:pPr>
          </w:p>
          <w:p>
            <w:pPr>
              <w:pStyle w:val="26"/>
              <w:spacing w:before="150"/>
              <w:ind w:left="14"/>
              <w:jc w:val="center"/>
              <w:rPr>
                <w:b/>
                <w:color w:val="auto"/>
                <w:sz w:val="22"/>
                <w:highlight w:val="none"/>
              </w:rPr>
            </w:pPr>
            <w:r>
              <w:rPr>
                <w:b/>
                <w:color w:val="auto"/>
                <w:sz w:val="22"/>
                <w:highlight w:val="none"/>
              </w:rPr>
              <w:t>单位</w:t>
            </w:r>
          </w:p>
        </w:tc>
        <w:tc>
          <w:tcPr>
            <w:tcW w:w="972" w:type="dxa"/>
            <w:gridSpan w:val="2"/>
          </w:tcPr>
          <w:p>
            <w:pPr>
              <w:pStyle w:val="26"/>
              <w:rPr>
                <w:b/>
                <w:color w:val="auto"/>
                <w:sz w:val="22"/>
                <w:highlight w:val="none"/>
              </w:rPr>
            </w:pPr>
          </w:p>
          <w:p>
            <w:pPr>
              <w:pStyle w:val="26"/>
              <w:spacing w:before="150"/>
              <w:ind w:right="31"/>
              <w:jc w:val="right"/>
              <w:rPr>
                <w:b/>
                <w:color w:val="auto"/>
                <w:sz w:val="22"/>
                <w:highlight w:val="none"/>
              </w:rPr>
            </w:pPr>
            <w:r>
              <w:rPr>
                <w:b/>
                <w:color w:val="auto"/>
                <w:w w:val="95"/>
                <w:sz w:val="22"/>
                <w:highlight w:val="none"/>
              </w:rPr>
              <w:t>工程数量</w:t>
            </w:r>
          </w:p>
        </w:tc>
        <w:tc>
          <w:tcPr>
            <w:tcW w:w="888" w:type="dxa"/>
            <w:gridSpan w:val="2"/>
          </w:tcPr>
          <w:p>
            <w:pPr>
              <w:pStyle w:val="26"/>
              <w:spacing w:before="7"/>
              <w:rPr>
                <w:b/>
                <w:color w:val="auto"/>
                <w:sz w:val="21"/>
                <w:highlight w:val="none"/>
              </w:rPr>
            </w:pPr>
          </w:p>
          <w:p>
            <w:pPr>
              <w:pStyle w:val="26"/>
              <w:spacing w:line="266" w:lineRule="auto"/>
              <w:ind w:left="227" w:right="208"/>
              <w:rPr>
                <w:b/>
                <w:color w:val="auto"/>
                <w:sz w:val="22"/>
                <w:highlight w:val="none"/>
              </w:rPr>
            </w:pPr>
            <w:r>
              <w:rPr>
                <w:b/>
                <w:color w:val="auto"/>
                <w:sz w:val="22"/>
                <w:highlight w:val="none"/>
              </w:rPr>
              <w:t>单价(元)</w:t>
            </w:r>
          </w:p>
        </w:tc>
        <w:tc>
          <w:tcPr>
            <w:tcW w:w="1085" w:type="dxa"/>
            <w:gridSpan w:val="2"/>
          </w:tcPr>
          <w:p>
            <w:pPr>
              <w:pStyle w:val="26"/>
              <w:rPr>
                <w:b/>
                <w:color w:val="auto"/>
                <w:sz w:val="22"/>
                <w:highlight w:val="none"/>
              </w:rPr>
            </w:pPr>
          </w:p>
          <w:p>
            <w:pPr>
              <w:pStyle w:val="26"/>
              <w:spacing w:before="150"/>
              <w:ind w:left="103"/>
              <w:rPr>
                <w:b/>
                <w:color w:val="auto"/>
                <w:sz w:val="22"/>
                <w:highlight w:val="none"/>
              </w:rPr>
            </w:pPr>
            <w:r>
              <w:rPr>
                <w:b/>
                <w:color w:val="auto"/>
                <w:sz w:val="22"/>
                <w:highlight w:val="none"/>
              </w:rPr>
              <w:t>合价(元)</w:t>
            </w:r>
          </w:p>
        </w:tc>
        <w:tc>
          <w:tcPr>
            <w:tcW w:w="711" w:type="dxa"/>
            <w:gridSpan w:val="2"/>
          </w:tcPr>
          <w:p>
            <w:pPr>
              <w:pStyle w:val="26"/>
              <w:rPr>
                <w:b/>
                <w:color w:val="auto"/>
                <w:sz w:val="22"/>
                <w:highlight w:val="none"/>
              </w:rPr>
            </w:pPr>
          </w:p>
          <w:p>
            <w:pPr>
              <w:pStyle w:val="26"/>
              <w:spacing w:before="150"/>
              <w:ind w:left="137"/>
              <w:rPr>
                <w:b/>
                <w:color w:val="auto"/>
                <w:sz w:val="22"/>
                <w:highlight w:val="none"/>
              </w:rPr>
            </w:pPr>
            <w:r>
              <w:rPr>
                <w:b/>
                <w:color w:val="auto"/>
                <w:sz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3" w:hRule="atLeast"/>
        </w:trPr>
        <w:tc>
          <w:tcPr>
            <w:tcW w:w="1807" w:type="dxa"/>
            <w:vMerge w:val="restart"/>
            <w:vAlign w:val="center"/>
          </w:tcPr>
          <w:p>
            <w:pPr>
              <w:pStyle w:val="26"/>
              <w:ind w:left="249"/>
              <w:jc w:val="center"/>
              <w:rPr>
                <w:color w:val="auto"/>
                <w:sz w:val="20"/>
                <w:highlight w:val="none"/>
              </w:rPr>
            </w:pPr>
            <w:r>
              <w:rPr>
                <w:color w:val="auto"/>
                <w:sz w:val="20"/>
                <w:highlight w:val="none"/>
              </w:rPr>
              <w:t>第 100 章 总则</w:t>
            </w:r>
          </w:p>
        </w:tc>
        <w:tc>
          <w:tcPr>
            <w:tcW w:w="733" w:type="dxa"/>
          </w:tcPr>
          <w:p>
            <w:pPr>
              <w:pStyle w:val="26"/>
              <w:spacing w:before="4" w:line="240" w:lineRule="auto"/>
              <w:rPr>
                <w:b/>
                <w:color w:val="auto"/>
                <w:sz w:val="14"/>
                <w:highlight w:val="none"/>
              </w:rPr>
            </w:pPr>
          </w:p>
          <w:p>
            <w:pPr>
              <w:pStyle w:val="26"/>
              <w:spacing w:line="240" w:lineRule="auto"/>
              <w:ind w:left="15" w:right="5"/>
              <w:jc w:val="center"/>
              <w:rPr>
                <w:color w:val="auto"/>
                <w:sz w:val="20"/>
                <w:highlight w:val="none"/>
              </w:rPr>
            </w:pPr>
            <w:r>
              <w:rPr>
                <w:color w:val="auto"/>
                <w:sz w:val="20"/>
                <w:highlight w:val="none"/>
              </w:rPr>
              <w:t>101</w:t>
            </w:r>
          </w:p>
        </w:tc>
        <w:tc>
          <w:tcPr>
            <w:tcW w:w="2983" w:type="dxa"/>
          </w:tcPr>
          <w:p>
            <w:pPr>
              <w:pStyle w:val="26"/>
              <w:spacing w:before="4" w:line="240" w:lineRule="auto"/>
              <w:rPr>
                <w:b/>
                <w:color w:val="auto"/>
                <w:sz w:val="14"/>
                <w:highlight w:val="none"/>
              </w:rPr>
            </w:pPr>
          </w:p>
          <w:p>
            <w:pPr>
              <w:pStyle w:val="26"/>
              <w:spacing w:line="240" w:lineRule="auto"/>
              <w:ind w:left="14"/>
              <w:rPr>
                <w:color w:val="auto"/>
                <w:sz w:val="20"/>
                <w:highlight w:val="none"/>
              </w:rPr>
            </w:pPr>
            <w:r>
              <w:rPr>
                <w:color w:val="auto"/>
                <w:sz w:val="20"/>
                <w:highlight w:val="none"/>
              </w:rPr>
              <w:t>通则</w:t>
            </w:r>
          </w:p>
        </w:tc>
        <w:tc>
          <w:tcPr>
            <w:tcW w:w="471" w:type="dxa"/>
            <w:gridSpan w:val="2"/>
          </w:tcPr>
          <w:p>
            <w:pPr>
              <w:pStyle w:val="26"/>
              <w:spacing w:line="240" w:lineRule="auto"/>
              <w:rPr>
                <w:rFonts w:ascii="Times New Roman"/>
                <w:color w:val="auto"/>
                <w:sz w:val="20"/>
                <w:highlight w:val="none"/>
              </w:rPr>
            </w:pPr>
          </w:p>
        </w:tc>
        <w:tc>
          <w:tcPr>
            <w:tcW w:w="972" w:type="dxa"/>
            <w:gridSpan w:val="2"/>
          </w:tcPr>
          <w:p>
            <w:pPr>
              <w:pStyle w:val="26"/>
              <w:spacing w:line="240" w:lineRule="auto"/>
              <w:rPr>
                <w:rFonts w:ascii="Times New Roman"/>
                <w:color w:val="auto"/>
                <w:sz w:val="20"/>
                <w:highlight w:val="none"/>
              </w:rPr>
            </w:pP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5" w:hRule="atLeast"/>
        </w:trPr>
        <w:tc>
          <w:tcPr>
            <w:tcW w:w="1807" w:type="dxa"/>
            <w:vMerge w:val="continue"/>
            <w:tcBorders>
              <w:top w:val="nil"/>
            </w:tcBorders>
            <w:vAlign w:val="center"/>
          </w:tcPr>
          <w:p>
            <w:pPr>
              <w:jc w:val="center"/>
              <w:rPr>
                <w:color w:val="auto"/>
                <w:sz w:val="2"/>
                <w:szCs w:val="2"/>
                <w:highlight w:val="none"/>
              </w:rPr>
            </w:pPr>
          </w:p>
        </w:tc>
        <w:tc>
          <w:tcPr>
            <w:tcW w:w="733" w:type="dxa"/>
          </w:tcPr>
          <w:p>
            <w:pPr>
              <w:pStyle w:val="26"/>
              <w:spacing w:before="6" w:line="240" w:lineRule="auto"/>
              <w:rPr>
                <w:b/>
                <w:color w:val="auto"/>
                <w:sz w:val="14"/>
                <w:highlight w:val="none"/>
              </w:rPr>
            </w:pPr>
          </w:p>
          <w:p>
            <w:pPr>
              <w:pStyle w:val="26"/>
              <w:spacing w:before="1" w:line="240" w:lineRule="auto"/>
              <w:ind w:left="15" w:right="9"/>
              <w:jc w:val="center"/>
              <w:rPr>
                <w:color w:val="auto"/>
                <w:sz w:val="20"/>
                <w:highlight w:val="none"/>
              </w:rPr>
            </w:pPr>
            <w:r>
              <w:rPr>
                <w:color w:val="auto"/>
                <w:sz w:val="20"/>
                <w:highlight w:val="none"/>
              </w:rPr>
              <w:t>101-1</w:t>
            </w:r>
          </w:p>
        </w:tc>
        <w:tc>
          <w:tcPr>
            <w:tcW w:w="2983" w:type="dxa"/>
          </w:tcPr>
          <w:p>
            <w:pPr>
              <w:pStyle w:val="26"/>
              <w:spacing w:before="6" w:line="240" w:lineRule="auto"/>
              <w:rPr>
                <w:b/>
                <w:color w:val="auto"/>
                <w:sz w:val="14"/>
                <w:highlight w:val="none"/>
              </w:rPr>
            </w:pPr>
          </w:p>
          <w:p>
            <w:pPr>
              <w:pStyle w:val="26"/>
              <w:spacing w:before="1" w:line="240" w:lineRule="auto"/>
              <w:ind w:left="14"/>
              <w:rPr>
                <w:color w:val="auto"/>
                <w:sz w:val="20"/>
                <w:highlight w:val="none"/>
              </w:rPr>
            </w:pPr>
            <w:r>
              <w:rPr>
                <w:color w:val="auto"/>
                <w:sz w:val="20"/>
                <w:highlight w:val="none"/>
              </w:rPr>
              <w:t>保险费</w:t>
            </w:r>
          </w:p>
        </w:tc>
        <w:tc>
          <w:tcPr>
            <w:tcW w:w="471" w:type="dxa"/>
            <w:gridSpan w:val="2"/>
          </w:tcPr>
          <w:p>
            <w:pPr>
              <w:pStyle w:val="26"/>
              <w:spacing w:line="240" w:lineRule="auto"/>
              <w:rPr>
                <w:rFonts w:ascii="Times New Roman"/>
                <w:color w:val="auto"/>
                <w:sz w:val="20"/>
                <w:highlight w:val="none"/>
              </w:rPr>
            </w:pPr>
          </w:p>
        </w:tc>
        <w:tc>
          <w:tcPr>
            <w:tcW w:w="972" w:type="dxa"/>
            <w:gridSpan w:val="2"/>
          </w:tcPr>
          <w:p>
            <w:pPr>
              <w:pStyle w:val="26"/>
              <w:spacing w:line="240" w:lineRule="auto"/>
              <w:rPr>
                <w:rFonts w:ascii="Times New Roman"/>
                <w:color w:val="auto"/>
                <w:sz w:val="20"/>
                <w:highlight w:val="none"/>
              </w:rPr>
            </w:pP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62" w:hRule="atLeast"/>
        </w:trPr>
        <w:tc>
          <w:tcPr>
            <w:tcW w:w="1807" w:type="dxa"/>
            <w:vMerge w:val="continue"/>
            <w:tcBorders>
              <w:top w:val="nil"/>
            </w:tcBorders>
            <w:vAlign w:val="center"/>
          </w:tcPr>
          <w:p>
            <w:pPr>
              <w:jc w:val="center"/>
              <w:rPr>
                <w:color w:val="auto"/>
                <w:sz w:val="2"/>
                <w:szCs w:val="2"/>
                <w:highlight w:val="none"/>
              </w:rPr>
            </w:pPr>
          </w:p>
        </w:tc>
        <w:tc>
          <w:tcPr>
            <w:tcW w:w="733" w:type="dxa"/>
          </w:tcPr>
          <w:p>
            <w:pPr>
              <w:pStyle w:val="26"/>
              <w:spacing w:before="3" w:line="240" w:lineRule="auto"/>
              <w:rPr>
                <w:b/>
                <w:color w:val="auto"/>
                <w:sz w:val="15"/>
                <w:highlight w:val="none"/>
              </w:rPr>
            </w:pPr>
          </w:p>
          <w:p>
            <w:pPr>
              <w:pStyle w:val="26"/>
              <w:spacing w:line="240" w:lineRule="auto"/>
              <w:ind w:left="15" w:right="6"/>
              <w:jc w:val="center"/>
              <w:rPr>
                <w:color w:val="auto"/>
                <w:sz w:val="20"/>
                <w:highlight w:val="none"/>
              </w:rPr>
            </w:pPr>
            <w:r>
              <w:rPr>
                <w:color w:val="auto"/>
                <w:sz w:val="20"/>
                <w:highlight w:val="none"/>
              </w:rPr>
              <w:t>-a</w:t>
            </w:r>
          </w:p>
        </w:tc>
        <w:tc>
          <w:tcPr>
            <w:tcW w:w="2983" w:type="dxa"/>
          </w:tcPr>
          <w:p>
            <w:pPr>
              <w:pStyle w:val="26"/>
              <w:spacing w:before="39" w:line="240" w:lineRule="auto"/>
              <w:ind w:left="14"/>
              <w:rPr>
                <w:color w:val="auto"/>
                <w:sz w:val="20"/>
                <w:highlight w:val="none"/>
              </w:rPr>
            </w:pPr>
            <w:r>
              <w:rPr>
                <w:color w:val="auto"/>
                <w:spacing w:val="-7"/>
                <w:sz w:val="20"/>
                <w:highlight w:val="none"/>
              </w:rPr>
              <w:t>按合同条款规定，提供建筑工程一</w:t>
            </w:r>
          </w:p>
          <w:p>
            <w:pPr>
              <w:pStyle w:val="26"/>
              <w:spacing w:before="56" w:line="240" w:lineRule="auto"/>
              <w:ind w:left="14"/>
              <w:rPr>
                <w:color w:val="auto"/>
                <w:sz w:val="20"/>
                <w:highlight w:val="none"/>
              </w:rPr>
            </w:pPr>
            <w:r>
              <w:rPr>
                <w:color w:val="auto"/>
                <w:sz w:val="20"/>
                <w:highlight w:val="none"/>
              </w:rPr>
              <w:t>切险</w:t>
            </w:r>
          </w:p>
        </w:tc>
        <w:tc>
          <w:tcPr>
            <w:tcW w:w="471" w:type="dxa"/>
            <w:gridSpan w:val="2"/>
          </w:tcPr>
          <w:p>
            <w:pPr>
              <w:pStyle w:val="26"/>
              <w:spacing w:before="3" w:line="240" w:lineRule="auto"/>
              <w:rPr>
                <w:b/>
                <w:color w:val="auto"/>
                <w:sz w:val="15"/>
                <w:highlight w:val="none"/>
              </w:rPr>
            </w:pPr>
          </w:p>
          <w:p>
            <w:pPr>
              <w:pStyle w:val="26"/>
              <w:spacing w:line="240" w:lineRule="auto"/>
              <w:ind w:left="14"/>
              <w:jc w:val="center"/>
              <w:rPr>
                <w:color w:val="auto"/>
                <w:sz w:val="20"/>
                <w:highlight w:val="none"/>
              </w:rPr>
            </w:pPr>
            <w:r>
              <w:rPr>
                <w:color w:val="auto"/>
                <w:sz w:val="20"/>
                <w:highlight w:val="none"/>
              </w:rPr>
              <w:t>总额</w:t>
            </w:r>
          </w:p>
        </w:tc>
        <w:tc>
          <w:tcPr>
            <w:tcW w:w="972" w:type="dxa"/>
            <w:gridSpan w:val="2"/>
          </w:tcPr>
          <w:p>
            <w:pPr>
              <w:pStyle w:val="26"/>
              <w:spacing w:before="3" w:line="240" w:lineRule="auto"/>
              <w:rPr>
                <w:b/>
                <w:color w:val="auto"/>
                <w:sz w:val="15"/>
                <w:highlight w:val="none"/>
              </w:rPr>
            </w:pPr>
          </w:p>
          <w:p>
            <w:pPr>
              <w:pStyle w:val="26"/>
              <w:spacing w:line="240" w:lineRule="auto"/>
              <w:ind w:right="1"/>
              <w:jc w:val="right"/>
              <w:rPr>
                <w:color w:val="auto"/>
                <w:sz w:val="20"/>
                <w:highlight w:val="none"/>
              </w:rPr>
            </w:pPr>
            <w:r>
              <w:rPr>
                <w:color w:val="auto"/>
                <w:w w:val="95"/>
                <w:sz w:val="20"/>
                <w:highlight w:val="none"/>
              </w:rPr>
              <w:t>1.000</w:t>
            </w: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63" w:hRule="atLeast"/>
        </w:trPr>
        <w:tc>
          <w:tcPr>
            <w:tcW w:w="1807" w:type="dxa"/>
            <w:vMerge w:val="continue"/>
            <w:tcBorders>
              <w:top w:val="nil"/>
            </w:tcBorders>
            <w:vAlign w:val="center"/>
          </w:tcPr>
          <w:p>
            <w:pPr>
              <w:jc w:val="center"/>
              <w:rPr>
                <w:color w:val="auto"/>
                <w:sz w:val="2"/>
                <w:szCs w:val="2"/>
                <w:highlight w:val="none"/>
              </w:rPr>
            </w:pPr>
          </w:p>
        </w:tc>
        <w:tc>
          <w:tcPr>
            <w:tcW w:w="733" w:type="dxa"/>
          </w:tcPr>
          <w:p>
            <w:pPr>
              <w:pStyle w:val="26"/>
              <w:spacing w:before="4" w:line="240" w:lineRule="auto"/>
              <w:rPr>
                <w:b/>
                <w:color w:val="auto"/>
                <w:sz w:val="15"/>
                <w:highlight w:val="none"/>
              </w:rPr>
            </w:pPr>
          </w:p>
          <w:p>
            <w:pPr>
              <w:pStyle w:val="26"/>
              <w:spacing w:line="240" w:lineRule="auto"/>
              <w:ind w:left="15" w:right="6"/>
              <w:jc w:val="center"/>
              <w:rPr>
                <w:color w:val="auto"/>
                <w:sz w:val="20"/>
                <w:highlight w:val="none"/>
              </w:rPr>
            </w:pPr>
            <w:r>
              <w:rPr>
                <w:color w:val="auto"/>
                <w:sz w:val="20"/>
                <w:highlight w:val="none"/>
              </w:rPr>
              <w:t>-b</w:t>
            </w:r>
          </w:p>
        </w:tc>
        <w:tc>
          <w:tcPr>
            <w:tcW w:w="2983" w:type="dxa"/>
          </w:tcPr>
          <w:p>
            <w:pPr>
              <w:pStyle w:val="26"/>
              <w:spacing w:before="39" w:line="240" w:lineRule="auto"/>
              <w:ind w:left="14"/>
              <w:rPr>
                <w:color w:val="auto"/>
                <w:sz w:val="20"/>
                <w:highlight w:val="none"/>
              </w:rPr>
            </w:pPr>
            <w:r>
              <w:rPr>
                <w:color w:val="auto"/>
                <w:spacing w:val="-7"/>
                <w:sz w:val="20"/>
                <w:highlight w:val="none"/>
              </w:rPr>
              <w:t>按合同条款规定，提供第三者责任</w:t>
            </w:r>
          </w:p>
          <w:p>
            <w:pPr>
              <w:pStyle w:val="26"/>
              <w:spacing w:before="57" w:line="240" w:lineRule="auto"/>
              <w:ind w:left="14"/>
              <w:rPr>
                <w:color w:val="auto"/>
                <w:sz w:val="20"/>
                <w:highlight w:val="none"/>
              </w:rPr>
            </w:pPr>
            <w:r>
              <w:rPr>
                <w:color w:val="auto"/>
                <w:w w:val="99"/>
                <w:sz w:val="20"/>
                <w:highlight w:val="none"/>
              </w:rPr>
              <w:t>险</w:t>
            </w:r>
          </w:p>
        </w:tc>
        <w:tc>
          <w:tcPr>
            <w:tcW w:w="471" w:type="dxa"/>
            <w:gridSpan w:val="2"/>
          </w:tcPr>
          <w:p>
            <w:pPr>
              <w:pStyle w:val="26"/>
              <w:spacing w:before="4" w:line="240" w:lineRule="auto"/>
              <w:rPr>
                <w:b/>
                <w:color w:val="auto"/>
                <w:sz w:val="15"/>
                <w:highlight w:val="none"/>
              </w:rPr>
            </w:pPr>
          </w:p>
          <w:p>
            <w:pPr>
              <w:pStyle w:val="26"/>
              <w:spacing w:line="240" w:lineRule="auto"/>
              <w:ind w:left="14"/>
              <w:jc w:val="center"/>
              <w:rPr>
                <w:color w:val="auto"/>
                <w:sz w:val="20"/>
                <w:highlight w:val="none"/>
              </w:rPr>
            </w:pPr>
            <w:r>
              <w:rPr>
                <w:color w:val="auto"/>
                <w:sz w:val="20"/>
                <w:highlight w:val="none"/>
              </w:rPr>
              <w:t>总额</w:t>
            </w:r>
          </w:p>
        </w:tc>
        <w:tc>
          <w:tcPr>
            <w:tcW w:w="972" w:type="dxa"/>
            <w:gridSpan w:val="2"/>
          </w:tcPr>
          <w:p>
            <w:pPr>
              <w:pStyle w:val="26"/>
              <w:spacing w:before="4" w:line="240" w:lineRule="auto"/>
              <w:rPr>
                <w:b/>
                <w:color w:val="auto"/>
                <w:sz w:val="15"/>
                <w:highlight w:val="none"/>
              </w:rPr>
            </w:pPr>
          </w:p>
          <w:p>
            <w:pPr>
              <w:pStyle w:val="26"/>
              <w:spacing w:line="240" w:lineRule="auto"/>
              <w:ind w:right="1"/>
              <w:jc w:val="right"/>
              <w:rPr>
                <w:color w:val="auto"/>
                <w:sz w:val="20"/>
                <w:highlight w:val="none"/>
              </w:rPr>
            </w:pPr>
            <w:r>
              <w:rPr>
                <w:color w:val="auto"/>
                <w:w w:val="95"/>
                <w:sz w:val="20"/>
                <w:highlight w:val="none"/>
              </w:rPr>
              <w:t>1.000</w:t>
            </w:r>
          </w:p>
        </w:tc>
        <w:tc>
          <w:tcPr>
            <w:tcW w:w="888" w:type="dxa"/>
            <w:gridSpan w:val="2"/>
          </w:tcPr>
          <w:p>
            <w:pPr>
              <w:pStyle w:val="26"/>
              <w:spacing w:before="4"/>
              <w:rPr>
                <w:b/>
                <w:color w:val="auto"/>
                <w:sz w:val="15"/>
                <w:highlight w:val="none"/>
              </w:rPr>
            </w:pPr>
          </w:p>
          <w:p>
            <w:pPr>
              <w:pStyle w:val="26"/>
              <w:ind w:left="177"/>
              <w:rPr>
                <w:color w:val="auto"/>
                <w:sz w:val="20"/>
                <w:highlight w:val="none"/>
              </w:rPr>
            </w:pPr>
            <w:r>
              <w:rPr>
                <w:rFonts w:hint="eastAsia"/>
                <w:color w:val="auto"/>
                <w:sz w:val="20"/>
                <w:highlight w:val="none"/>
                <w:lang w:val="en-US" w:eastAsia="zh-CN"/>
              </w:rPr>
              <w:t>35</w:t>
            </w:r>
            <w:r>
              <w:rPr>
                <w:color w:val="auto"/>
                <w:sz w:val="20"/>
                <w:highlight w:val="none"/>
              </w:rPr>
              <w:t>00.00</w:t>
            </w:r>
          </w:p>
        </w:tc>
        <w:tc>
          <w:tcPr>
            <w:tcW w:w="1085" w:type="dxa"/>
            <w:gridSpan w:val="2"/>
          </w:tcPr>
          <w:p>
            <w:pPr>
              <w:pStyle w:val="26"/>
              <w:spacing w:before="4"/>
              <w:rPr>
                <w:b/>
                <w:color w:val="auto"/>
                <w:sz w:val="15"/>
                <w:highlight w:val="none"/>
              </w:rPr>
            </w:pPr>
          </w:p>
          <w:p>
            <w:pPr>
              <w:pStyle w:val="26"/>
              <w:ind w:left="0" w:leftChars="0" w:firstLine="0" w:firstLineChars="0"/>
              <w:jc w:val="center"/>
              <w:rPr>
                <w:color w:val="auto"/>
                <w:sz w:val="20"/>
                <w:highlight w:val="none"/>
              </w:rPr>
            </w:pPr>
            <w:r>
              <w:rPr>
                <w:rFonts w:hint="eastAsia"/>
                <w:color w:val="auto"/>
                <w:sz w:val="20"/>
                <w:highlight w:val="none"/>
                <w:lang w:val="en-US" w:eastAsia="zh-CN"/>
              </w:rPr>
              <w:t>35</w:t>
            </w:r>
            <w:r>
              <w:rPr>
                <w:color w:val="auto"/>
                <w:sz w:val="20"/>
                <w:highlight w:val="none"/>
              </w:rPr>
              <w:t>00.00</w:t>
            </w: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5" w:hRule="atLeast"/>
        </w:trPr>
        <w:tc>
          <w:tcPr>
            <w:tcW w:w="1807" w:type="dxa"/>
            <w:vMerge w:val="continue"/>
            <w:tcBorders>
              <w:top w:val="nil"/>
            </w:tcBorders>
            <w:vAlign w:val="center"/>
          </w:tcPr>
          <w:p>
            <w:pPr>
              <w:jc w:val="center"/>
              <w:rPr>
                <w:color w:val="auto"/>
                <w:sz w:val="2"/>
                <w:szCs w:val="2"/>
                <w:highlight w:val="none"/>
              </w:rPr>
            </w:pPr>
          </w:p>
        </w:tc>
        <w:tc>
          <w:tcPr>
            <w:tcW w:w="733" w:type="dxa"/>
          </w:tcPr>
          <w:p>
            <w:pPr>
              <w:pStyle w:val="26"/>
              <w:spacing w:before="6" w:line="240" w:lineRule="auto"/>
              <w:rPr>
                <w:b/>
                <w:color w:val="auto"/>
                <w:sz w:val="14"/>
                <w:highlight w:val="none"/>
              </w:rPr>
            </w:pPr>
          </w:p>
          <w:p>
            <w:pPr>
              <w:pStyle w:val="26"/>
              <w:spacing w:before="1" w:line="240" w:lineRule="auto"/>
              <w:ind w:left="15" w:right="5"/>
              <w:jc w:val="center"/>
              <w:rPr>
                <w:color w:val="auto"/>
                <w:sz w:val="20"/>
                <w:highlight w:val="none"/>
              </w:rPr>
            </w:pPr>
            <w:r>
              <w:rPr>
                <w:color w:val="auto"/>
                <w:sz w:val="20"/>
                <w:highlight w:val="none"/>
              </w:rPr>
              <w:t>102</w:t>
            </w:r>
          </w:p>
        </w:tc>
        <w:tc>
          <w:tcPr>
            <w:tcW w:w="2983" w:type="dxa"/>
          </w:tcPr>
          <w:p>
            <w:pPr>
              <w:pStyle w:val="26"/>
              <w:spacing w:before="6" w:line="240" w:lineRule="auto"/>
              <w:rPr>
                <w:b/>
                <w:color w:val="auto"/>
                <w:sz w:val="14"/>
                <w:highlight w:val="none"/>
              </w:rPr>
            </w:pPr>
          </w:p>
          <w:p>
            <w:pPr>
              <w:pStyle w:val="26"/>
              <w:spacing w:before="1" w:line="240" w:lineRule="auto"/>
              <w:ind w:left="14"/>
              <w:rPr>
                <w:color w:val="auto"/>
                <w:sz w:val="20"/>
                <w:highlight w:val="none"/>
              </w:rPr>
            </w:pPr>
            <w:r>
              <w:rPr>
                <w:color w:val="auto"/>
                <w:sz w:val="20"/>
                <w:highlight w:val="none"/>
              </w:rPr>
              <w:t>工程管理</w:t>
            </w:r>
          </w:p>
        </w:tc>
        <w:tc>
          <w:tcPr>
            <w:tcW w:w="471" w:type="dxa"/>
            <w:gridSpan w:val="2"/>
          </w:tcPr>
          <w:p>
            <w:pPr>
              <w:pStyle w:val="26"/>
              <w:spacing w:line="240" w:lineRule="auto"/>
              <w:rPr>
                <w:rFonts w:ascii="Times New Roman"/>
                <w:color w:val="auto"/>
                <w:sz w:val="20"/>
                <w:highlight w:val="none"/>
              </w:rPr>
            </w:pPr>
          </w:p>
        </w:tc>
        <w:tc>
          <w:tcPr>
            <w:tcW w:w="972" w:type="dxa"/>
            <w:gridSpan w:val="2"/>
          </w:tcPr>
          <w:p>
            <w:pPr>
              <w:pStyle w:val="26"/>
              <w:spacing w:line="240" w:lineRule="auto"/>
              <w:rPr>
                <w:rFonts w:ascii="Times New Roman"/>
                <w:color w:val="auto"/>
                <w:sz w:val="20"/>
                <w:highlight w:val="none"/>
              </w:rPr>
            </w:pP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3" w:hRule="atLeast"/>
        </w:trPr>
        <w:tc>
          <w:tcPr>
            <w:tcW w:w="1807" w:type="dxa"/>
            <w:vMerge w:val="continue"/>
            <w:tcBorders>
              <w:top w:val="nil"/>
            </w:tcBorders>
            <w:vAlign w:val="center"/>
          </w:tcPr>
          <w:p>
            <w:pPr>
              <w:jc w:val="center"/>
              <w:rPr>
                <w:color w:val="auto"/>
                <w:sz w:val="2"/>
                <w:szCs w:val="2"/>
                <w:highlight w:val="none"/>
              </w:rPr>
            </w:pPr>
          </w:p>
        </w:tc>
        <w:tc>
          <w:tcPr>
            <w:tcW w:w="733" w:type="dxa"/>
          </w:tcPr>
          <w:p>
            <w:pPr>
              <w:pStyle w:val="26"/>
              <w:spacing w:before="4" w:line="240" w:lineRule="auto"/>
              <w:rPr>
                <w:b/>
                <w:color w:val="auto"/>
                <w:sz w:val="14"/>
                <w:highlight w:val="none"/>
              </w:rPr>
            </w:pPr>
          </w:p>
          <w:p>
            <w:pPr>
              <w:pStyle w:val="26"/>
              <w:spacing w:line="240" w:lineRule="auto"/>
              <w:ind w:left="15" w:right="9"/>
              <w:jc w:val="center"/>
              <w:rPr>
                <w:color w:val="auto"/>
                <w:sz w:val="20"/>
                <w:highlight w:val="none"/>
              </w:rPr>
            </w:pPr>
            <w:r>
              <w:rPr>
                <w:color w:val="auto"/>
                <w:sz w:val="20"/>
                <w:highlight w:val="none"/>
              </w:rPr>
              <w:t>102-3</w:t>
            </w:r>
          </w:p>
        </w:tc>
        <w:tc>
          <w:tcPr>
            <w:tcW w:w="2983" w:type="dxa"/>
          </w:tcPr>
          <w:p>
            <w:pPr>
              <w:pStyle w:val="26"/>
              <w:spacing w:before="4" w:line="240" w:lineRule="auto"/>
              <w:rPr>
                <w:b/>
                <w:color w:val="auto"/>
                <w:sz w:val="14"/>
                <w:highlight w:val="none"/>
              </w:rPr>
            </w:pPr>
          </w:p>
          <w:p>
            <w:pPr>
              <w:pStyle w:val="26"/>
              <w:spacing w:line="240" w:lineRule="auto"/>
              <w:ind w:left="14"/>
              <w:rPr>
                <w:color w:val="auto"/>
                <w:sz w:val="20"/>
                <w:highlight w:val="none"/>
              </w:rPr>
            </w:pPr>
            <w:r>
              <w:rPr>
                <w:color w:val="auto"/>
                <w:sz w:val="20"/>
                <w:highlight w:val="none"/>
              </w:rPr>
              <w:t>安全生产费</w:t>
            </w:r>
          </w:p>
        </w:tc>
        <w:tc>
          <w:tcPr>
            <w:tcW w:w="471" w:type="dxa"/>
            <w:gridSpan w:val="2"/>
          </w:tcPr>
          <w:p>
            <w:pPr>
              <w:pStyle w:val="26"/>
              <w:spacing w:before="4" w:line="240" w:lineRule="auto"/>
              <w:rPr>
                <w:b/>
                <w:color w:val="auto"/>
                <w:sz w:val="14"/>
                <w:highlight w:val="none"/>
              </w:rPr>
            </w:pPr>
          </w:p>
          <w:p>
            <w:pPr>
              <w:pStyle w:val="26"/>
              <w:spacing w:line="240" w:lineRule="auto"/>
              <w:ind w:left="14"/>
              <w:jc w:val="center"/>
              <w:rPr>
                <w:color w:val="auto"/>
                <w:sz w:val="20"/>
                <w:highlight w:val="none"/>
              </w:rPr>
            </w:pPr>
            <w:r>
              <w:rPr>
                <w:color w:val="auto"/>
                <w:sz w:val="20"/>
                <w:highlight w:val="none"/>
              </w:rPr>
              <w:t>总额</w:t>
            </w:r>
          </w:p>
        </w:tc>
        <w:tc>
          <w:tcPr>
            <w:tcW w:w="972" w:type="dxa"/>
            <w:gridSpan w:val="2"/>
          </w:tcPr>
          <w:p>
            <w:pPr>
              <w:pStyle w:val="26"/>
              <w:spacing w:before="4" w:line="240" w:lineRule="auto"/>
              <w:rPr>
                <w:b/>
                <w:color w:val="auto"/>
                <w:sz w:val="14"/>
                <w:highlight w:val="none"/>
              </w:rPr>
            </w:pPr>
          </w:p>
          <w:p>
            <w:pPr>
              <w:pStyle w:val="26"/>
              <w:spacing w:line="240" w:lineRule="auto"/>
              <w:ind w:right="1"/>
              <w:jc w:val="right"/>
              <w:rPr>
                <w:color w:val="auto"/>
                <w:sz w:val="20"/>
                <w:highlight w:val="none"/>
              </w:rPr>
            </w:pPr>
            <w:r>
              <w:rPr>
                <w:color w:val="auto"/>
                <w:w w:val="95"/>
                <w:sz w:val="20"/>
                <w:highlight w:val="none"/>
              </w:rPr>
              <w:t>1.000</w:t>
            </w: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5" w:hRule="atLeast"/>
        </w:trPr>
        <w:tc>
          <w:tcPr>
            <w:tcW w:w="1807" w:type="dxa"/>
            <w:vMerge w:val="continue"/>
            <w:tcBorders>
              <w:top w:val="nil"/>
            </w:tcBorders>
            <w:vAlign w:val="center"/>
          </w:tcPr>
          <w:p>
            <w:pPr>
              <w:jc w:val="center"/>
              <w:rPr>
                <w:color w:val="auto"/>
                <w:sz w:val="2"/>
                <w:szCs w:val="2"/>
                <w:highlight w:val="none"/>
              </w:rPr>
            </w:pPr>
          </w:p>
        </w:tc>
        <w:tc>
          <w:tcPr>
            <w:tcW w:w="733" w:type="dxa"/>
          </w:tcPr>
          <w:p>
            <w:pPr>
              <w:pStyle w:val="26"/>
              <w:spacing w:before="6" w:line="240" w:lineRule="auto"/>
              <w:rPr>
                <w:b/>
                <w:color w:val="auto"/>
                <w:sz w:val="14"/>
                <w:highlight w:val="none"/>
              </w:rPr>
            </w:pPr>
          </w:p>
          <w:p>
            <w:pPr>
              <w:pStyle w:val="26"/>
              <w:spacing w:before="1" w:line="240" w:lineRule="auto"/>
              <w:ind w:left="15" w:right="5"/>
              <w:jc w:val="center"/>
              <w:rPr>
                <w:color w:val="auto"/>
                <w:sz w:val="20"/>
                <w:highlight w:val="none"/>
              </w:rPr>
            </w:pPr>
            <w:r>
              <w:rPr>
                <w:color w:val="auto"/>
                <w:sz w:val="20"/>
                <w:highlight w:val="none"/>
              </w:rPr>
              <w:t>104</w:t>
            </w:r>
          </w:p>
        </w:tc>
        <w:tc>
          <w:tcPr>
            <w:tcW w:w="2983" w:type="dxa"/>
          </w:tcPr>
          <w:p>
            <w:pPr>
              <w:pStyle w:val="26"/>
              <w:spacing w:before="6" w:line="240" w:lineRule="auto"/>
              <w:rPr>
                <w:b/>
                <w:color w:val="auto"/>
                <w:sz w:val="14"/>
                <w:highlight w:val="none"/>
              </w:rPr>
            </w:pPr>
          </w:p>
          <w:p>
            <w:pPr>
              <w:pStyle w:val="26"/>
              <w:spacing w:before="1" w:line="240" w:lineRule="auto"/>
              <w:ind w:left="14"/>
              <w:rPr>
                <w:color w:val="auto"/>
                <w:sz w:val="20"/>
                <w:highlight w:val="none"/>
              </w:rPr>
            </w:pPr>
            <w:r>
              <w:rPr>
                <w:color w:val="auto"/>
                <w:sz w:val="20"/>
                <w:highlight w:val="none"/>
              </w:rPr>
              <w:t>施工场地建设费</w:t>
            </w:r>
          </w:p>
        </w:tc>
        <w:tc>
          <w:tcPr>
            <w:tcW w:w="471" w:type="dxa"/>
            <w:gridSpan w:val="2"/>
          </w:tcPr>
          <w:p>
            <w:pPr>
              <w:pStyle w:val="26"/>
              <w:spacing w:line="240" w:lineRule="auto"/>
              <w:rPr>
                <w:rFonts w:ascii="Times New Roman"/>
                <w:color w:val="auto"/>
                <w:sz w:val="20"/>
                <w:highlight w:val="none"/>
              </w:rPr>
            </w:pPr>
          </w:p>
        </w:tc>
        <w:tc>
          <w:tcPr>
            <w:tcW w:w="972" w:type="dxa"/>
            <w:gridSpan w:val="2"/>
          </w:tcPr>
          <w:p>
            <w:pPr>
              <w:pStyle w:val="26"/>
              <w:spacing w:line="240" w:lineRule="auto"/>
              <w:rPr>
                <w:rFonts w:ascii="Times New Roman"/>
                <w:color w:val="auto"/>
                <w:sz w:val="20"/>
                <w:highlight w:val="none"/>
              </w:rPr>
            </w:pP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2" w:hRule="atLeast"/>
        </w:trPr>
        <w:tc>
          <w:tcPr>
            <w:tcW w:w="1807" w:type="dxa"/>
            <w:vMerge w:val="continue"/>
            <w:tcBorders>
              <w:top w:val="nil"/>
            </w:tcBorders>
            <w:vAlign w:val="center"/>
          </w:tcPr>
          <w:p>
            <w:pPr>
              <w:jc w:val="center"/>
              <w:rPr>
                <w:color w:val="auto"/>
                <w:sz w:val="2"/>
                <w:szCs w:val="2"/>
                <w:highlight w:val="none"/>
              </w:rPr>
            </w:pPr>
          </w:p>
        </w:tc>
        <w:tc>
          <w:tcPr>
            <w:tcW w:w="733" w:type="dxa"/>
          </w:tcPr>
          <w:p>
            <w:pPr>
              <w:pStyle w:val="26"/>
              <w:spacing w:before="4" w:line="240" w:lineRule="auto"/>
              <w:rPr>
                <w:b/>
                <w:color w:val="auto"/>
                <w:sz w:val="14"/>
                <w:highlight w:val="none"/>
              </w:rPr>
            </w:pPr>
          </w:p>
          <w:p>
            <w:pPr>
              <w:pStyle w:val="26"/>
              <w:spacing w:line="240" w:lineRule="auto"/>
              <w:ind w:left="15" w:right="9"/>
              <w:jc w:val="center"/>
              <w:rPr>
                <w:color w:val="auto"/>
                <w:sz w:val="20"/>
                <w:highlight w:val="none"/>
              </w:rPr>
            </w:pPr>
            <w:r>
              <w:rPr>
                <w:color w:val="auto"/>
                <w:sz w:val="20"/>
                <w:highlight w:val="none"/>
              </w:rPr>
              <w:t>104-1</w:t>
            </w:r>
          </w:p>
        </w:tc>
        <w:tc>
          <w:tcPr>
            <w:tcW w:w="2983" w:type="dxa"/>
          </w:tcPr>
          <w:p>
            <w:pPr>
              <w:pStyle w:val="26"/>
              <w:spacing w:before="4" w:line="240" w:lineRule="auto"/>
              <w:rPr>
                <w:b/>
                <w:color w:val="auto"/>
                <w:sz w:val="14"/>
                <w:highlight w:val="none"/>
              </w:rPr>
            </w:pPr>
          </w:p>
          <w:p>
            <w:pPr>
              <w:pStyle w:val="26"/>
              <w:spacing w:line="240" w:lineRule="auto"/>
              <w:ind w:left="14"/>
              <w:rPr>
                <w:color w:val="auto"/>
                <w:sz w:val="20"/>
                <w:highlight w:val="none"/>
              </w:rPr>
            </w:pPr>
            <w:r>
              <w:rPr>
                <w:color w:val="auto"/>
                <w:sz w:val="20"/>
                <w:highlight w:val="none"/>
              </w:rPr>
              <w:t>施工场地建设费</w:t>
            </w:r>
          </w:p>
        </w:tc>
        <w:tc>
          <w:tcPr>
            <w:tcW w:w="471" w:type="dxa"/>
            <w:gridSpan w:val="2"/>
          </w:tcPr>
          <w:p>
            <w:pPr>
              <w:pStyle w:val="26"/>
              <w:spacing w:before="4" w:line="240" w:lineRule="auto"/>
              <w:rPr>
                <w:b/>
                <w:color w:val="auto"/>
                <w:sz w:val="14"/>
                <w:highlight w:val="none"/>
              </w:rPr>
            </w:pPr>
          </w:p>
          <w:p>
            <w:pPr>
              <w:pStyle w:val="26"/>
              <w:spacing w:line="240" w:lineRule="auto"/>
              <w:ind w:left="14"/>
              <w:jc w:val="center"/>
              <w:rPr>
                <w:color w:val="auto"/>
                <w:sz w:val="20"/>
                <w:highlight w:val="none"/>
              </w:rPr>
            </w:pPr>
            <w:r>
              <w:rPr>
                <w:color w:val="auto"/>
                <w:sz w:val="20"/>
                <w:highlight w:val="none"/>
              </w:rPr>
              <w:t>总额</w:t>
            </w:r>
          </w:p>
        </w:tc>
        <w:tc>
          <w:tcPr>
            <w:tcW w:w="972" w:type="dxa"/>
            <w:gridSpan w:val="2"/>
          </w:tcPr>
          <w:p>
            <w:pPr>
              <w:pStyle w:val="26"/>
              <w:spacing w:before="4" w:line="240" w:lineRule="auto"/>
              <w:rPr>
                <w:b/>
                <w:color w:val="auto"/>
                <w:sz w:val="14"/>
                <w:highlight w:val="none"/>
              </w:rPr>
            </w:pPr>
          </w:p>
          <w:p>
            <w:pPr>
              <w:pStyle w:val="26"/>
              <w:spacing w:line="240" w:lineRule="auto"/>
              <w:ind w:right="1"/>
              <w:jc w:val="right"/>
              <w:rPr>
                <w:color w:val="auto"/>
                <w:sz w:val="20"/>
                <w:highlight w:val="none"/>
              </w:rPr>
            </w:pPr>
            <w:r>
              <w:rPr>
                <w:color w:val="auto"/>
                <w:w w:val="95"/>
                <w:sz w:val="20"/>
                <w:highlight w:val="none"/>
              </w:rPr>
              <w:t>1.000</w:t>
            </w:r>
          </w:p>
        </w:tc>
        <w:tc>
          <w:tcPr>
            <w:tcW w:w="888" w:type="dxa"/>
            <w:gridSpan w:val="2"/>
            <w:vAlign w:val="center"/>
          </w:tcPr>
          <w:p>
            <w:pPr>
              <w:pStyle w:val="26"/>
              <w:jc w:val="center"/>
              <w:rPr>
                <w:rFonts w:hint="default" w:ascii="Times New Roman" w:eastAsia="楷体"/>
                <w:color w:val="auto"/>
                <w:sz w:val="20"/>
                <w:highlight w:val="none"/>
                <w:lang w:val="en-US" w:eastAsia="zh-CN"/>
              </w:rPr>
            </w:pPr>
            <w:r>
              <w:rPr>
                <w:rFonts w:hint="eastAsia" w:ascii="Times New Roman"/>
                <w:color w:val="auto"/>
                <w:sz w:val="20"/>
                <w:highlight w:val="none"/>
                <w:lang w:val="en-US" w:eastAsia="zh-CN"/>
              </w:rPr>
              <w:t>2500.00</w:t>
            </w:r>
          </w:p>
        </w:tc>
        <w:tc>
          <w:tcPr>
            <w:tcW w:w="1085" w:type="dxa"/>
            <w:gridSpan w:val="2"/>
            <w:vAlign w:val="center"/>
          </w:tcPr>
          <w:p>
            <w:pPr>
              <w:pStyle w:val="26"/>
              <w:jc w:val="center"/>
              <w:rPr>
                <w:rFonts w:hint="default" w:ascii="Times New Roman" w:eastAsia="楷体"/>
                <w:color w:val="auto"/>
                <w:sz w:val="20"/>
                <w:highlight w:val="none"/>
                <w:lang w:val="en-US" w:eastAsia="zh-CN"/>
              </w:rPr>
            </w:pPr>
            <w:r>
              <w:rPr>
                <w:rFonts w:hint="eastAsia" w:ascii="Times New Roman"/>
                <w:color w:val="auto"/>
                <w:sz w:val="20"/>
                <w:highlight w:val="none"/>
                <w:lang w:val="en-US" w:eastAsia="zh-CN"/>
              </w:rPr>
              <w:t>2500.00</w:t>
            </w: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2" w:hRule="atLeast"/>
        </w:trPr>
        <w:tc>
          <w:tcPr>
            <w:tcW w:w="1807" w:type="dxa"/>
            <w:vMerge w:val="restart"/>
            <w:vAlign w:val="center"/>
          </w:tcPr>
          <w:p>
            <w:pPr>
              <w:pStyle w:val="26"/>
              <w:tabs>
                <w:tab w:val="left" w:pos="1149"/>
              </w:tabs>
              <w:ind w:left="148"/>
              <w:jc w:val="center"/>
              <w:rPr>
                <w:color w:val="auto"/>
                <w:sz w:val="2"/>
                <w:szCs w:val="2"/>
                <w:highlight w:val="none"/>
              </w:rPr>
            </w:pPr>
            <w:r>
              <w:rPr>
                <w:color w:val="auto"/>
                <w:sz w:val="20"/>
                <w:highlight w:val="none"/>
              </w:rPr>
              <w:t>第</w:t>
            </w:r>
            <w:r>
              <w:rPr>
                <w:color w:val="auto"/>
                <w:spacing w:val="-48"/>
                <w:sz w:val="20"/>
                <w:highlight w:val="none"/>
              </w:rPr>
              <w:t xml:space="preserve"> </w:t>
            </w:r>
            <w:r>
              <w:rPr>
                <w:color w:val="auto"/>
                <w:sz w:val="20"/>
                <w:highlight w:val="none"/>
              </w:rPr>
              <w:t>200</w:t>
            </w:r>
            <w:r>
              <w:rPr>
                <w:color w:val="auto"/>
                <w:spacing w:val="-52"/>
                <w:sz w:val="20"/>
                <w:highlight w:val="none"/>
              </w:rPr>
              <w:t xml:space="preserve"> </w:t>
            </w:r>
            <w:r>
              <w:rPr>
                <w:color w:val="auto"/>
                <w:sz w:val="20"/>
                <w:highlight w:val="none"/>
              </w:rPr>
              <w:t>章</w:t>
            </w:r>
            <w:r>
              <w:rPr>
                <w:color w:val="auto"/>
                <w:sz w:val="20"/>
                <w:highlight w:val="none"/>
              </w:rPr>
              <w:tab/>
            </w:r>
            <w:r>
              <w:rPr>
                <w:color w:val="auto"/>
                <w:sz w:val="20"/>
                <w:highlight w:val="none"/>
              </w:rPr>
              <w:t>路</w:t>
            </w:r>
            <w:r>
              <w:rPr>
                <w:color w:val="auto"/>
                <w:spacing w:val="-1"/>
                <w:sz w:val="20"/>
                <w:highlight w:val="none"/>
              </w:rPr>
              <w:t xml:space="preserve"> </w:t>
            </w:r>
            <w:r>
              <w:rPr>
                <w:color w:val="auto"/>
                <w:sz w:val="20"/>
                <w:highlight w:val="none"/>
              </w:rPr>
              <w:t>基</w:t>
            </w:r>
          </w:p>
        </w:tc>
        <w:tc>
          <w:tcPr>
            <w:tcW w:w="733" w:type="dxa"/>
          </w:tcPr>
          <w:p>
            <w:pPr>
              <w:pStyle w:val="26"/>
              <w:spacing w:before="6" w:line="240" w:lineRule="auto"/>
              <w:rPr>
                <w:b/>
                <w:color w:val="auto"/>
                <w:sz w:val="14"/>
                <w:highlight w:val="none"/>
              </w:rPr>
            </w:pPr>
          </w:p>
          <w:p>
            <w:pPr>
              <w:pStyle w:val="26"/>
              <w:spacing w:before="1" w:line="240" w:lineRule="auto"/>
              <w:ind w:left="15" w:right="5"/>
              <w:jc w:val="center"/>
              <w:rPr>
                <w:color w:val="auto"/>
                <w:sz w:val="20"/>
                <w:highlight w:val="none"/>
              </w:rPr>
            </w:pPr>
            <w:r>
              <w:rPr>
                <w:color w:val="auto"/>
                <w:sz w:val="20"/>
                <w:highlight w:val="none"/>
              </w:rPr>
              <w:t>203</w:t>
            </w:r>
          </w:p>
        </w:tc>
        <w:tc>
          <w:tcPr>
            <w:tcW w:w="2983" w:type="dxa"/>
          </w:tcPr>
          <w:p>
            <w:pPr>
              <w:pStyle w:val="26"/>
              <w:spacing w:before="6" w:line="240" w:lineRule="auto"/>
              <w:rPr>
                <w:b/>
                <w:color w:val="auto"/>
                <w:sz w:val="14"/>
                <w:highlight w:val="none"/>
              </w:rPr>
            </w:pPr>
          </w:p>
          <w:p>
            <w:pPr>
              <w:pStyle w:val="26"/>
              <w:spacing w:before="1" w:line="240" w:lineRule="auto"/>
              <w:ind w:left="14"/>
              <w:rPr>
                <w:color w:val="auto"/>
                <w:sz w:val="20"/>
                <w:highlight w:val="none"/>
              </w:rPr>
            </w:pPr>
            <w:r>
              <w:rPr>
                <w:color w:val="auto"/>
                <w:sz w:val="20"/>
                <w:highlight w:val="none"/>
              </w:rPr>
              <w:t>挖方路基</w:t>
            </w:r>
          </w:p>
        </w:tc>
        <w:tc>
          <w:tcPr>
            <w:tcW w:w="471" w:type="dxa"/>
            <w:gridSpan w:val="2"/>
          </w:tcPr>
          <w:p>
            <w:pPr>
              <w:pStyle w:val="26"/>
              <w:spacing w:line="240" w:lineRule="auto"/>
              <w:rPr>
                <w:rFonts w:ascii="Times New Roman"/>
                <w:color w:val="auto"/>
                <w:sz w:val="20"/>
                <w:highlight w:val="none"/>
              </w:rPr>
            </w:pPr>
          </w:p>
        </w:tc>
        <w:tc>
          <w:tcPr>
            <w:tcW w:w="972" w:type="dxa"/>
            <w:gridSpan w:val="2"/>
          </w:tcPr>
          <w:p>
            <w:pPr>
              <w:pStyle w:val="26"/>
              <w:spacing w:line="240" w:lineRule="auto"/>
              <w:rPr>
                <w:rFonts w:ascii="Times New Roman"/>
                <w:color w:val="auto"/>
                <w:sz w:val="20"/>
                <w:highlight w:val="none"/>
              </w:rPr>
            </w:pP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5" w:hRule="atLeast"/>
        </w:trPr>
        <w:tc>
          <w:tcPr>
            <w:tcW w:w="1807" w:type="dxa"/>
            <w:vMerge w:val="continue"/>
            <w:vAlign w:val="center"/>
          </w:tcPr>
          <w:p>
            <w:pPr>
              <w:jc w:val="center"/>
              <w:rPr>
                <w:color w:val="auto"/>
                <w:sz w:val="2"/>
                <w:szCs w:val="2"/>
                <w:highlight w:val="none"/>
              </w:rPr>
            </w:pPr>
          </w:p>
        </w:tc>
        <w:tc>
          <w:tcPr>
            <w:tcW w:w="733" w:type="dxa"/>
          </w:tcPr>
          <w:p>
            <w:pPr>
              <w:pStyle w:val="26"/>
              <w:spacing w:before="4" w:line="240" w:lineRule="auto"/>
              <w:rPr>
                <w:b/>
                <w:color w:val="auto"/>
                <w:sz w:val="14"/>
                <w:highlight w:val="none"/>
              </w:rPr>
            </w:pPr>
          </w:p>
          <w:p>
            <w:pPr>
              <w:pStyle w:val="26"/>
              <w:spacing w:line="240" w:lineRule="auto"/>
              <w:ind w:left="15" w:right="9"/>
              <w:jc w:val="center"/>
              <w:rPr>
                <w:color w:val="auto"/>
                <w:sz w:val="20"/>
                <w:highlight w:val="none"/>
              </w:rPr>
            </w:pPr>
            <w:r>
              <w:rPr>
                <w:color w:val="auto"/>
                <w:sz w:val="20"/>
                <w:highlight w:val="none"/>
              </w:rPr>
              <w:t>203-1</w:t>
            </w:r>
          </w:p>
        </w:tc>
        <w:tc>
          <w:tcPr>
            <w:tcW w:w="2983" w:type="dxa"/>
          </w:tcPr>
          <w:p>
            <w:pPr>
              <w:pStyle w:val="26"/>
              <w:spacing w:before="4" w:line="240" w:lineRule="auto"/>
              <w:rPr>
                <w:b/>
                <w:color w:val="auto"/>
                <w:sz w:val="14"/>
                <w:highlight w:val="none"/>
              </w:rPr>
            </w:pPr>
          </w:p>
          <w:p>
            <w:pPr>
              <w:pStyle w:val="26"/>
              <w:spacing w:line="240" w:lineRule="auto"/>
              <w:ind w:left="14"/>
              <w:rPr>
                <w:color w:val="auto"/>
                <w:sz w:val="20"/>
                <w:highlight w:val="none"/>
              </w:rPr>
            </w:pPr>
            <w:r>
              <w:rPr>
                <w:color w:val="auto"/>
                <w:sz w:val="20"/>
                <w:highlight w:val="none"/>
              </w:rPr>
              <w:t>路基挖方</w:t>
            </w:r>
          </w:p>
        </w:tc>
        <w:tc>
          <w:tcPr>
            <w:tcW w:w="471" w:type="dxa"/>
            <w:gridSpan w:val="2"/>
          </w:tcPr>
          <w:p>
            <w:pPr>
              <w:pStyle w:val="26"/>
              <w:spacing w:line="240" w:lineRule="auto"/>
              <w:rPr>
                <w:rFonts w:ascii="Times New Roman"/>
                <w:color w:val="auto"/>
                <w:sz w:val="20"/>
                <w:highlight w:val="none"/>
              </w:rPr>
            </w:pPr>
          </w:p>
        </w:tc>
        <w:tc>
          <w:tcPr>
            <w:tcW w:w="972" w:type="dxa"/>
            <w:gridSpan w:val="2"/>
          </w:tcPr>
          <w:p>
            <w:pPr>
              <w:pStyle w:val="26"/>
              <w:spacing w:line="240" w:lineRule="auto"/>
              <w:rPr>
                <w:rFonts w:ascii="Times New Roman"/>
                <w:color w:val="auto"/>
                <w:sz w:val="20"/>
                <w:highlight w:val="none"/>
              </w:rPr>
            </w:pP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3" w:hRule="atLeast"/>
        </w:trPr>
        <w:tc>
          <w:tcPr>
            <w:tcW w:w="1807" w:type="dxa"/>
            <w:vMerge w:val="continue"/>
            <w:vAlign w:val="center"/>
          </w:tcPr>
          <w:p>
            <w:pPr>
              <w:jc w:val="center"/>
              <w:rPr>
                <w:color w:val="auto"/>
                <w:sz w:val="2"/>
                <w:szCs w:val="2"/>
                <w:highlight w:val="none"/>
              </w:rPr>
            </w:pPr>
          </w:p>
        </w:tc>
        <w:tc>
          <w:tcPr>
            <w:tcW w:w="733" w:type="dxa"/>
          </w:tcPr>
          <w:p>
            <w:pPr>
              <w:pStyle w:val="26"/>
              <w:spacing w:before="5" w:line="240" w:lineRule="auto"/>
              <w:rPr>
                <w:b/>
                <w:color w:val="auto"/>
                <w:sz w:val="14"/>
                <w:highlight w:val="none"/>
              </w:rPr>
            </w:pPr>
          </w:p>
          <w:p>
            <w:pPr>
              <w:pStyle w:val="26"/>
              <w:spacing w:line="240" w:lineRule="auto"/>
              <w:ind w:left="15" w:right="6"/>
              <w:jc w:val="center"/>
              <w:rPr>
                <w:color w:val="auto"/>
                <w:sz w:val="20"/>
                <w:highlight w:val="none"/>
              </w:rPr>
            </w:pPr>
            <w:r>
              <w:rPr>
                <w:color w:val="auto"/>
                <w:sz w:val="20"/>
                <w:highlight w:val="none"/>
              </w:rPr>
              <w:t>-a</w:t>
            </w:r>
          </w:p>
        </w:tc>
        <w:tc>
          <w:tcPr>
            <w:tcW w:w="2983" w:type="dxa"/>
          </w:tcPr>
          <w:p>
            <w:pPr>
              <w:pStyle w:val="26"/>
              <w:spacing w:before="5" w:line="240" w:lineRule="auto"/>
              <w:rPr>
                <w:b/>
                <w:color w:val="auto"/>
                <w:sz w:val="14"/>
                <w:highlight w:val="none"/>
              </w:rPr>
            </w:pPr>
          </w:p>
          <w:p>
            <w:pPr>
              <w:pStyle w:val="26"/>
              <w:spacing w:line="240" w:lineRule="auto"/>
              <w:ind w:left="14"/>
              <w:rPr>
                <w:color w:val="auto"/>
                <w:sz w:val="20"/>
                <w:highlight w:val="none"/>
              </w:rPr>
            </w:pPr>
            <w:r>
              <w:rPr>
                <w:color w:val="auto"/>
                <w:sz w:val="20"/>
                <w:highlight w:val="none"/>
              </w:rPr>
              <w:t>挖土方</w:t>
            </w:r>
          </w:p>
        </w:tc>
        <w:tc>
          <w:tcPr>
            <w:tcW w:w="471" w:type="dxa"/>
            <w:gridSpan w:val="2"/>
          </w:tcPr>
          <w:p>
            <w:pPr>
              <w:pStyle w:val="26"/>
              <w:spacing w:before="5" w:line="240" w:lineRule="auto"/>
              <w:rPr>
                <w:b/>
                <w:color w:val="auto"/>
                <w:sz w:val="14"/>
                <w:highlight w:val="none"/>
              </w:rPr>
            </w:pPr>
          </w:p>
          <w:p>
            <w:pPr>
              <w:pStyle w:val="26"/>
              <w:spacing w:line="240" w:lineRule="auto"/>
              <w:ind w:left="14"/>
              <w:jc w:val="center"/>
              <w:rPr>
                <w:color w:val="auto"/>
                <w:sz w:val="20"/>
                <w:highlight w:val="none"/>
              </w:rPr>
            </w:pPr>
            <w:r>
              <w:rPr>
                <w:color w:val="auto"/>
                <w:sz w:val="20"/>
                <w:highlight w:val="none"/>
              </w:rPr>
              <w:t>m3</w:t>
            </w:r>
          </w:p>
        </w:tc>
        <w:tc>
          <w:tcPr>
            <w:tcW w:w="972" w:type="dxa"/>
            <w:gridSpan w:val="2"/>
          </w:tcPr>
          <w:p>
            <w:pPr>
              <w:pStyle w:val="26"/>
              <w:spacing w:before="5" w:line="240" w:lineRule="auto"/>
              <w:rPr>
                <w:b/>
                <w:color w:val="auto"/>
                <w:sz w:val="14"/>
                <w:highlight w:val="none"/>
              </w:rPr>
            </w:pPr>
          </w:p>
          <w:p>
            <w:pPr>
              <w:pStyle w:val="26"/>
              <w:spacing w:line="240" w:lineRule="auto"/>
              <w:jc w:val="right"/>
              <w:rPr>
                <w:color w:val="auto"/>
                <w:sz w:val="20"/>
                <w:highlight w:val="none"/>
              </w:rPr>
            </w:pPr>
            <w:r>
              <w:rPr>
                <w:rFonts w:hint="eastAsia"/>
                <w:color w:val="auto"/>
                <w:sz w:val="20"/>
                <w:highlight w:val="none"/>
                <w:lang w:val="en-US" w:eastAsia="zh-CN"/>
              </w:rPr>
              <w:t>4218.360</w:t>
            </w: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5" w:hRule="atLeast"/>
        </w:trPr>
        <w:tc>
          <w:tcPr>
            <w:tcW w:w="1807" w:type="dxa"/>
            <w:vMerge w:val="continue"/>
            <w:vAlign w:val="center"/>
          </w:tcPr>
          <w:p>
            <w:pPr>
              <w:jc w:val="center"/>
              <w:rPr>
                <w:color w:val="auto"/>
                <w:sz w:val="2"/>
                <w:szCs w:val="2"/>
                <w:highlight w:val="none"/>
              </w:rPr>
            </w:pPr>
          </w:p>
        </w:tc>
        <w:tc>
          <w:tcPr>
            <w:tcW w:w="733" w:type="dxa"/>
          </w:tcPr>
          <w:p>
            <w:pPr>
              <w:pStyle w:val="26"/>
              <w:spacing w:before="6" w:line="240" w:lineRule="auto"/>
              <w:rPr>
                <w:b/>
                <w:color w:val="auto"/>
                <w:sz w:val="14"/>
                <w:highlight w:val="none"/>
              </w:rPr>
            </w:pPr>
          </w:p>
          <w:p>
            <w:pPr>
              <w:pStyle w:val="26"/>
              <w:spacing w:before="1" w:line="240" w:lineRule="auto"/>
              <w:ind w:left="15" w:right="6"/>
              <w:jc w:val="center"/>
              <w:rPr>
                <w:color w:val="auto"/>
                <w:sz w:val="20"/>
                <w:highlight w:val="none"/>
              </w:rPr>
            </w:pPr>
            <w:r>
              <w:rPr>
                <w:color w:val="auto"/>
                <w:sz w:val="20"/>
                <w:highlight w:val="none"/>
              </w:rPr>
              <w:t>-</w:t>
            </w:r>
            <w:r>
              <w:rPr>
                <w:rFonts w:hint="eastAsia"/>
                <w:color w:val="auto"/>
                <w:sz w:val="20"/>
                <w:highlight w:val="none"/>
                <w:lang w:val="en-US" w:eastAsia="zh-CN"/>
              </w:rPr>
              <w:t>b</w:t>
            </w:r>
          </w:p>
        </w:tc>
        <w:tc>
          <w:tcPr>
            <w:tcW w:w="2983" w:type="dxa"/>
          </w:tcPr>
          <w:p>
            <w:pPr>
              <w:pStyle w:val="26"/>
              <w:spacing w:before="6" w:line="240" w:lineRule="auto"/>
              <w:rPr>
                <w:b/>
                <w:color w:val="auto"/>
                <w:sz w:val="14"/>
                <w:highlight w:val="none"/>
              </w:rPr>
            </w:pPr>
          </w:p>
          <w:p>
            <w:pPr>
              <w:pStyle w:val="26"/>
              <w:spacing w:before="1" w:line="240" w:lineRule="auto"/>
              <w:ind w:left="14"/>
              <w:rPr>
                <w:color w:val="auto"/>
                <w:sz w:val="20"/>
                <w:highlight w:val="none"/>
              </w:rPr>
            </w:pPr>
            <w:r>
              <w:rPr>
                <w:color w:val="auto"/>
                <w:sz w:val="20"/>
                <w:highlight w:val="none"/>
              </w:rPr>
              <w:t>挖</w:t>
            </w:r>
            <w:r>
              <w:rPr>
                <w:rFonts w:hint="eastAsia"/>
                <w:color w:val="auto"/>
                <w:sz w:val="20"/>
                <w:highlight w:val="none"/>
                <w:lang w:eastAsia="zh-CN"/>
              </w:rPr>
              <w:t>石方</w:t>
            </w:r>
          </w:p>
        </w:tc>
        <w:tc>
          <w:tcPr>
            <w:tcW w:w="471" w:type="dxa"/>
            <w:gridSpan w:val="2"/>
          </w:tcPr>
          <w:p>
            <w:pPr>
              <w:pStyle w:val="26"/>
              <w:spacing w:before="6" w:line="240" w:lineRule="auto"/>
              <w:rPr>
                <w:b/>
                <w:color w:val="auto"/>
                <w:sz w:val="14"/>
                <w:highlight w:val="none"/>
              </w:rPr>
            </w:pPr>
          </w:p>
          <w:p>
            <w:pPr>
              <w:pStyle w:val="26"/>
              <w:spacing w:before="1" w:line="240" w:lineRule="auto"/>
              <w:ind w:left="14"/>
              <w:jc w:val="center"/>
              <w:rPr>
                <w:rFonts w:ascii="Times New Roman"/>
                <w:color w:val="auto"/>
                <w:sz w:val="20"/>
                <w:highlight w:val="none"/>
              </w:rPr>
            </w:pPr>
            <w:r>
              <w:rPr>
                <w:color w:val="auto"/>
                <w:sz w:val="20"/>
                <w:highlight w:val="none"/>
              </w:rPr>
              <w:t>m3</w:t>
            </w:r>
          </w:p>
        </w:tc>
        <w:tc>
          <w:tcPr>
            <w:tcW w:w="972" w:type="dxa"/>
            <w:gridSpan w:val="2"/>
          </w:tcPr>
          <w:p>
            <w:pPr>
              <w:pStyle w:val="26"/>
              <w:spacing w:before="6" w:line="240" w:lineRule="auto"/>
              <w:rPr>
                <w:b/>
                <w:color w:val="auto"/>
                <w:sz w:val="14"/>
                <w:highlight w:val="none"/>
              </w:rPr>
            </w:pPr>
          </w:p>
          <w:p>
            <w:pPr>
              <w:pStyle w:val="26"/>
              <w:spacing w:before="1" w:line="240" w:lineRule="auto"/>
              <w:ind w:right="1"/>
              <w:jc w:val="right"/>
              <w:rPr>
                <w:rFonts w:ascii="Times New Roman"/>
                <w:color w:val="auto"/>
                <w:sz w:val="20"/>
                <w:highlight w:val="none"/>
              </w:rPr>
            </w:pPr>
            <w:r>
              <w:rPr>
                <w:rFonts w:hint="eastAsia"/>
                <w:color w:val="auto"/>
                <w:w w:val="95"/>
                <w:sz w:val="20"/>
                <w:highlight w:val="none"/>
                <w:lang w:val="en-US" w:eastAsia="zh-CN"/>
              </w:rPr>
              <w:t>6895.650</w:t>
            </w: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32" w:hRule="atLeast"/>
        </w:trPr>
        <w:tc>
          <w:tcPr>
            <w:tcW w:w="1807" w:type="dxa"/>
            <w:vMerge w:val="continue"/>
            <w:vAlign w:val="center"/>
          </w:tcPr>
          <w:p>
            <w:pPr>
              <w:jc w:val="center"/>
              <w:rPr>
                <w:color w:val="auto"/>
                <w:sz w:val="2"/>
                <w:szCs w:val="2"/>
                <w:highlight w:val="none"/>
              </w:rPr>
            </w:pPr>
          </w:p>
        </w:tc>
        <w:tc>
          <w:tcPr>
            <w:tcW w:w="733" w:type="dxa"/>
          </w:tcPr>
          <w:p>
            <w:pPr>
              <w:pStyle w:val="26"/>
              <w:spacing w:before="4" w:line="240" w:lineRule="auto"/>
              <w:rPr>
                <w:b/>
                <w:color w:val="auto"/>
                <w:sz w:val="14"/>
                <w:highlight w:val="none"/>
              </w:rPr>
            </w:pPr>
          </w:p>
          <w:p>
            <w:pPr>
              <w:pStyle w:val="26"/>
              <w:spacing w:line="240" w:lineRule="auto"/>
              <w:ind w:left="15" w:right="6"/>
              <w:jc w:val="center"/>
              <w:rPr>
                <w:color w:val="auto"/>
                <w:sz w:val="20"/>
                <w:highlight w:val="none"/>
              </w:rPr>
            </w:pPr>
            <w:r>
              <w:rPr>
                <w:color w:val="auto"/>
                <w:sz w:val="20"/>
                <w:highlight w:val="none"/>
              </w:rPr>
              <w:t>-</w:t>
            </w:r>
            <w:r>
              <w:rPr>
                <w:rFonts w:hint="eastAsia"/>
                <w:color w:val="auto"/>
                <w:sz w:val="20"/>
                <w:highlight w:val="none"/>
                <w:lang w:val="en-US" w:eastAsia="zh-CN"/>
              </w:rPr>
              <w:t>g</w:t>
            </w:r>
          </w:p>
        </w:tc>
        <w:tc>
          <w:tcPr>
            <w:tcW w:w="2983" w:type="dxa"/>
          </w:tcPr>
          <w:p>
            <w:pPr>
              <w:pStyle w:val="26"/>
              <w:spacing w:before="4" w:line="240" w:lineRule="auto"/>
              <w:rPr>
                <w:b/>
                <w:color w:val="auto"/>
                <w:sz w:val="14"/>
                <w:highlight w:val="none"/>
              </w:rPr>
            </w:pPr>
          </w:p>
          <w:p>
            <w:pPr>
              <w:pStyle w:val="26"/>
              <w:spacing w:line="240" w:lineRule="auto"/>
              <w:ind w:left="14"/>
              <w:rPr>
                <w:color w:val="auto"/>
                <w:sz w:val="20"/>
                <w:highlight w:val="none"/>
              </w:rPr>
            </w:pPr>
            <w:r>
              <w:rPr>
                <w:rFonts w:hint="eastAsia"/>
                <w:color w:val="auto"/>
                <w:sz w:val="20"/>
                <w:highlight w:val="none"/>
                <w:lang w:eastAsia="zh-CN"/>
              </w:rPr>
              <w:t>弃方外运</w:t>
            </w:r>
            <w:r>
              <w:rPr>
                <w:color w:val="auto"/>
                <w:sz w:val="20"/>
                <w:highlight w:val="none"/>
              </w:rPr>
              <w:t>（</w:t>
            </w:r>
            <w:r>
              <w:rPr>
                <w:rFonts w:hint="eastAsia"/>
                <w:color w:val="auto"/>
                <w:spacing w:val="-6"/>
                <w:sz w:val="20"/>
                <w:highlight w:val="none"/>
                <w:lang w:val="en-US" w:eastAsia="zh-CN"/>
              </w:rPr>
              <w:t>3</w:t>
            </w:r>
            <w:r>
              <w:rPr>
                <w:color w:val="auto"/>
                <w:sz w:val="20"/>
                <w:highlight w:val="none"/>
              </w:rPr>
              <w:t>km）</w:t>
            </w:r>
          </w:p>
        </w:tc>
        <w:tc>
          <w:tcPr>
            <w:tcW w:w="471" w:type="dxa"/>
            <w:gridSpan w:val="2"/>
          </w:tcPr>
          <w:p>
            <w:pPr>
              <w:pStyle w:val="26"/>
              <w:spacing w:before="4" w:line="240" w:lineRule="auto"/>
              <w:rPr>
                <w:b/>
                <w:color w:val="auto"/>
                <w:sz w:val="14"/>
                <w:highlight w:val="none"/>
              </w:rPr>
            </w:pPr>
          </w:p>
          <w:p>
            <w:pPr>
              <w:pStyle w:val="26"/>
              <w:spacing w:line="240" w:lineRule="auto"/>
              <w:ind w:left="14"/>
              <w:jc w:val="center"/>
              <w:rPr>
                <w:rFonts w:ascii="Times New Roman"/>
                <w:color w:val="auto"/>
                <w:sz w:val="20"/>
                <w:highlight w:val="none"/>
              </w:rPr>
            </w:pPr>
            <w:r>
              <w:rPr>
                <w:color w:val="auto"/>
                <w:sz w:val="20"/>
                <w:highlight w:val="none"/>
              </w:rPr>
              <w:t>m3</w:t>
            </w:r>
          </w:p>
        </w:tc>
        <w:tc>
          <w:tcPr>
            <w:tcW w:w="972" w:type="dxa"/>
            <w:gridSpan w:val="2"/>
          </w:tcPr>
          <w:p>
            <w:pPr>
              <w:pStyle w:val="26"/>
              <w:spacing w:before="4" w:line="240" w:lineRule="auto"/>
              <w:rPr>
                <w:b/>
                <w:color w:val="auto"/>
                <w:sz w:val="14"/>
                <w:highlight w:val="none"/>
              </w:rPr>
            </w:pPr>
          </w:p>
          <w:p>
            <w:pPr>
              <w:pStyle w:val="26"/>
              <w:spacing w:line="240" w:lineRule="auto"/>
              <w:jc w:val="right"/>
              <w:rPr>
                <w:rFonts w:ascii="Times New Roman"/>
                <w:color w:val="auto"/>
                <w:sz w:val="20"/>
                <w:highlight w:val="none"/>
              </w:rPr>
            </w:pPr>
            <w:r>
              <w:rPr>
                <w:rFonts w:hint="eastAsia"/>
                <w:color w:val="auto"/>
                <w:w w:val="95"/>
                <w:sz w:val="20"/>
                <w:highlight w:val="none"/>
                <w:lang w:val="en-US" w:eastAsia="zh-CN"/>
              </w:rPr>
              <w:t>6716.59</w:t>
            </w:r>
            <w:r>
              <w:rPr>
                <w:color w:val="auto"/>
                <w:w w:val="95"/>
                <w:sz w:val="20"/>
                <w:highlight w:val="none"/>
              </w:rPr>
              <w:t>0</w:t>
            </w:r>
          </w:p>
        </w:tc>
        <w:tc>
          <w:tcPr>
            <w:tcW w:w="888" w:type="dxa"/>
            <w:gridSpan w:val="2"/>
          </w:tcPr>
          <w:p>
            <w:pPr>
              <w:pStyle w:val="26"/>
              <w:rPr>
                <w:rFonts w:ascii="Times New Roman"/>
                <w:color w:val="auto"/>
                <w:sz w:val="20"/>
                <w:highlight w:val="none"/>
              </w:rPr>
            </w:pPr>
          </w:p>
        </w:tc>
        <w:tc>
          <w:tcPr>
            <w:tcW w:w="1085" w:type="dxa"/>
            <w:gridSpan w:val="2"/>
          </w:tcPr>
          <w:p>
            <w:pPr>
              <w:pStyle w:val="26"/>
              <w:rPr>
                <w:rFonts w:ascii="Times New Roman"/>
                <w:color w:val="auto"/>
                <w:sz w:val="20"/>
                <w:highlight w:val="none"/>
              </w:rPr>
            </w:pPr>
          </w:p>
        </w:tc>
        <w:tc>
          <w:tcPr>
            <w:tcW w:w="711" w:type="dxa"/>
            <w:gridSpan w:val="2"/>
          </w:tcPr>
          <w:p>
            <w:pPr>
              <w:pStyle w:val="2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807" w:type="dxa"/>
            <w:vMerge w:val="continue"/>
            <w:vAlign w:val="center"/>
          </w:tcPr>
          <w:p>
            <w:pPr>
              <w:jc w:val="center"/>
              <w:rPr>
                <w:color w:val="auto"/>
                <w:sz w:val="2"/>
                <w:szCs w:val="2"/>
                <w:highlight w:val="none"/>
              </w:rPr>
            </w:pPr>
          </w:p>
        </w:tc>
        <w:tc>
          <w:tcPr>
            <w:tcW w:w="733" w:type="dxa"/>
          </w:tcPr>
          <w:p>
            <w:pPr>
              <w:pStyle w:val="26"/>
              <w:spacing w:before="1" w:line="240" w:lineRule="auto"/>
              <w:rPr>
                <w:b/>
                <w:color w:val="auto"/>
                <w:sz w:val="14"/>
                <w:highlight w:val="none"/>
              </w:rPr>
            </w:pPr>
          </w:p>
          <w:p>
            <w:pPr>
              <w:pStyle w:val="26"/>
              <w:spacing w:line="240" w:lineRule="auto"/>
              <w:ind w:left="102" w:right="87"/>
              <w:jc w:val="center"/>
              <w:rPr>
                <w:color w:val="auto"/>
                <w:sz w:val="20"/>
                <w:highlight w:val="none"/>
              </w:rPr>
            </w:pPr>
            <w:r>
              <w:rPr>
                <w:color w:val="auto"/>
                <w:sz w:val="20"/>
                <w:highlight w:val="none"/>
              </w:rPr>
              <w:t>204</w:t>
            </w:r>
          </w:p>
        </w:tc>
        <w:tc>
          <w:tcPr>
            <w:tcW w:w="2984" w:type="dxa"/>
            <w:gridSpan w:val="2"/>
          </w:tcPr>
          <w:p>
            <w:pPr>
              <w:pStyle w:val="26"/>
              <w:spacing w:before="1" w:line="240" w:lineRule="auto"/>
              <w:rPr>
                <w:b/>
                <w:color w:val="auto"/>
                <w:sz w:val="14"/>
                <w:highlight w:val="none"/>
              </w:rPr>
            </w:pPr>
          </w:p>
          <w:p>
            <w:pPr>
              <w:pStyle w:val="26"/>
              <w:spacing w:line="240" w:lineRule="auto"/>
              <w:ind w:left="14"/>
              <w:rPr>
                <w:color w:val="auto"/>
                <w:sz w:val="20"/>
                <w:highlight w:val="none"/>
              </w:rPr>
            </w:pPr>
            <w:r>
              <w:rPr>
                <w:color w:val="auto"/>
                <w:sz w:val="20"/>
                <w:highlight w:val="none"/>
              </w:rPr>
              <w:t>填方路基</w:t>
            </w:r>
          </w:p>
        </w:tc>
        <w:tc>
          <w:tcPr>
            <w:tcW w:w="472" w:type="dxa"/>
            <w:gridSpan w:val="2"/>
          </w:tcPr>
          <w:p>
            <w:pPr>
              <w:pStyle w:val="26"/>
              <w:spacing w:line="240" w:lineRule="auto"/>
              <w:rPr>
                <w:rFonts w:ascii="Times New Roman"/>
                <w:color w:val="auto"/>
                <w:sz w:val="18"/>
                <w:highlight w:val="none"/>
              </w:rPr>
            </w:pPr>
          </w:p>
        </w:tc>
        <w:tc>
          <w:tcPr>
            <w:tcW w:w="973" w:type="dxa"/>
            <w:gridSpan w:val="2"/>
          </w:tcPr>
          <w:p>
            <w:pPr>
              <w:pStyle w:val="26"/>
              <w:spacing w:line="240" w:lineRule="auto"/>
              <w:rPr>
                <w:rFonts w:ascii="Times New Roman"/>
                <w:color w:val="auto"/>
                <w:sz w:val="18"/>
                <w:highlight w:val="none"/>
              </w:rPr>
            </w:pP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807" w:type="dxa"/>
            <w:vMerge w:val="continue"/>
            <w:vAlign w:val="center"/>
          </w:tcPr>
          <w:p>
            <w:pPr>
              <w:jc w:val="center"/>
              <w:rPr>
                <w:color w:val="auto"/>
                <w:sz w:val="2"/>
                <w:szCs w:val="2"/>
                <w:highlight w:val="none"/>
              </w:rPr>
            </w:pPr>
          </w:p>
        </w:tc>
        <w:tc>
          <w:tcPr>
            <w:tcW w:w="733" w:type="dxa"/>
          </w:tcPr>
          <w:p>
            <w:pPr>
              <w:pStyle w:val="26"/>
              <w:spacing w:before="178" w:line="240" w:lineRule="auto"/>
              <w:ind w:left="102" w:right="91"/>
              <w:jc w:val="center"/>
              <w:rPr>
                <w:color w:val="auto"/>
                <w:sz w:val="20"/>
                <w:highlight w:val="none"/>
              </w:rPr>
            </w:pPr>
            <w:r>
              <w:rPr>
                <w:color w:val="auto"/>
                <w:sz w:val="20"/>
                <w:highlight w:val="none"/>
              </w:rPr>
              <w:t>204-1</w:t>
            </w:r>
          </w:p>
        </w:tc>
        <w:tc>
          <w:tcPr>
            <w:tcW w:w="2984" w:type="dxa"/>
            <w:gridSpan w:val="2"/>
          </w:tcPr>
          <w:p>
            <w:pPr>
              <w:pStyle w:val="26"/>
              <w:spacing w:before="178" w:line="240" w:lineRule="auto"/>
              <w:ind w:left="14"/>
              <w:rPr>
                <w:color w:val="auto"/>
                <w:sz w:val="20"/>
                <w:highlight w:val="none"/>
              </w:rPr>
            </w:pPr>
            <w:r>
              <w:rPr>
                <w:color w:val="auto"/>
                <w:sz w:val="20"/>
                <w:highlight w:val="none"/>
              </w:rPr>
              <w:t>路基填筑（包括填前压实）</w:t>
            </w:r>
          </w:p>
        </w:tc>
        <w:tc>
          <w:tcPr>
            <w:tcW w:w="472" w:type="dxa"/>
            <w:gridSpan w:val="2"/>
          </w:tcPr>
          <w:p>
            <w:pPr>
              <w:pStyle w:val="26"/>
              <w:spacing w:line="240" w:lineRule="auto"/>
              <w:rPr>
                <w:rFonts w:ascii="Times New Roman"/>
                <w:color w:val="auto"/>
                <w:sz w:val="18"/>
                <w:highlight w:val="none"/>
              </w:rPr>
            </w:pPr>
          </w:p>
        </w:tc>
        <w:tc>
          <w:tcPr>
            <w:tcW w:w="973" w:type="dxa"/>
            <w:gridSpan w:val="2"/>
          </w:tcPr>
          <w:p>
            <w:pPr>
              <w:pStyle w:val="26"/>
              <w:spacing w:line="240" w:lineRule="auto"/>
              <w:rPr>
                <w:rFonts w:ascii="Times New Roman"/>
                <w:color w:val="auto"/>
                <w:sz w:val="18"/>
                <w:highlight w:val="none"/>
              </w:rPr>
            </w:pP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807" w:type="dxa"/>
            <w:vMerge w:val="continue"/>
            <w:vAlign w:val="center"/>
          </w:tcPr>
          <w:p>
            <w:pPr>
              <w:jc w:val="center"/>
              <w:rPr>
                <w:color w:val="auto"/>
                <w:sz w:val="2"/>
                <w:szCs w:val="2"/>
                <w:highlight w:val="none"/>
              </w:rPr>
            </w:pPr>
          </w:p>
        </w:tc>
        <w:tc>
          <w:tcPr>
            <w:tcW w:w="733" w:type="dxa"/>
          </w:tcPr>
          <w:p>
            <w:pPr>
              <w:pStyle w:val="26"/>
              <w:spacing w:before="178" w:line="240" w:lineRule="auto"/>
              <w:ind w:left="102" w:right="88"/>
              <w:jc w:val="center"/>
              <w:rPr>
                <w:color w:val="auto"/>
                <w:sz w:val="20"/>
                <w:highlight w:val="none"/>
              </w:rPr>
            </w:pPr>
            <w:r>
              <w:rPr>
                <w:color w:val="auto"/>
                <w:sz w:val="20"/>
                <w:highlight w:val="none"/>
              </w:rPr>
              <w:t>-a</w:t>
            </w:r>
          </w:p>
        </w:tc>
        <w:tc>
          <w:tcPr>
            <w:tcW w:w="2984" w:type="dxa"/>
            <w:gridSpan w:val="2"/>
          </w:tcPr>
          <w:p>
            <w:pPr>
              <w:pStyle w:val="26"/>
              <w:spacing w:before="178" w:line="240" w:lineRule="auto"/>
              <w:ind w:left="14"/>
              <w:rPr>
                <w:rFonts w:hint="eastAsia" w:eastAsia="楷体"/>
                <w:color w:val="auto"/>
                <w:sz w:val="20"/>
                <w:highlight w:val="none"/>
                <w:lang w:eastAsia="zh-CN"/>
              </w:rPr>
            </w:pPr>
            <w:r>
              <w:rPr>
                <w:rFonts w:hint="eastAsia"/>
                <w:color w:val="auto"/>
                <w:sz w:val="20"/>
                <w:highlight w:val="none"/>
                <w:lang w:eastAsia="zh-CN"/>
              </w:rPr>
              <w:t>利用土方</w:t>
            </w:r>
          </w:p>
        </w:tc>
        <w:tc>
          <w:tcPr>
            <w:tcW w:w="472" w:type="dxa"/>
            <w:gridSpan w:val="2"/>
          </w:tcPr>
          <w:p>
            <w:pPr>
              <w:pStyle w:val="26"/>
              <w:spacing w:before="178" w:line="240" w:lineRule="auto"/>
              <w:ind w:left="117" w:right="106"/>
              <w:jc w:val="center"/>
              <w:rPr>
                <w:color w:val="auto"/>
                <w:sz w:val="20"/>
                <w:highlight w:val="none"/>
              </w:rPr>
            </w:pPr>
            <w:r>
              <w:rPr>
                <w:color w:val="auto"/>
                <w:sz w:val="20"/>
                <w:highlight w:val="none"/>
              </w:rPr>
              <w:t>m3</w:t>
            </w:r>
          </w:p>
        </w:tc>
        <w:tc>
          <w:tcPr>
            <w:tcW w:w="973" w:type="dxa"/>
            <w:gridSpan w:val="2"/>
          </w:tcPr>
          <w:p>
            <w:pPr>
              <w:pStyle w:val="26"/>
              <w:spacing w:before="178" w:line="240" w:lineRule="auto"/>
              <w:ind w:right="3"/>
              <w:jc w:val="right"/>
              <w:rPr>
                <w:color w:val="auto"/>
                <w:sz w:val="20"/>
                <w:highlight w:val="none"/>
              </w:rPr>
            </w:pPr>
            <w:r>
              <w:rPr>
                <w:rFonts w:hint="eastAsia"/>
                <w:color w:val="auto"/>
                <w:sz w:val="20"/>
                <w:highlight w:val="none"/>
                <w:lang w:val="en-US" w:eastAsia="zh-CN"/>
              </w:rPr>
              <w:t>495.00</w:t>
            </w:r>
            <w:r>
              <w:rPr>
                <w:color w:val="auto"/>
                <w:sz w:val="20"/>
                <w:highlight w:val="none"/>
              </w:rPr>
              <w:t>0</w:t>
            </w: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807" w:type="dxa"/>
            <w:vMerge w:val="continue"/>
            <w:vAlign w:val="center"/>
          </w:tcPr>
          <w:p>
            <w:pPr>
              <w:jc w:val="center"/>
              <w:rPr>
                <w:color w:val="auto"/>
                <w:sz w:val="2"/>
                <w:szCs w:val="2"/>
                <w:highlight w:val="none"/>
              </w:rPr>
            </w:pPr>
          </w:p>
        </w:tc>
        <w:tc>
          <w:tcPr>
            <w:tcW w:w="733" w:type="dxa"/>
          </w:tcPr>
          <w:p>
            <w:pPr>
              <w:pStyle w:val="26"/>
              <w:spacing w:before="1" w:line="240" w:lineRule="auto"/>
              <w:rPr>
                <w:b/>
                <w:color w:val="auto"/>
                <w:sz w:val="14"/>
                <w:highlight w:val="none"/>
              </w:rPr>
            </w:pPr>
          </w:p>
          <w:p>
            <w:pPr>
              <w:pStyle w:val="26"/>
              <w:spacing w:before="1" w:line="240" w:lineRule="auto"/>
              <w:ind w:left="102" w:right="88"/>
              <w:jc w:val="center"/>
              <w:rPr>
                <w:color w:val="auto"/>
                <w:sz w:val="20"/>
                <w:highlight w:val="none"/>
              </w:rPr>
            </w:pPr>
            <w:r>
              <w:rPr>
                <w:color w:val="auto"/>
                <w:sz w:val="20"/>
                <w:highlight w:val="none"/>
              </w:rPr>
              <w:t>-b</w:t>
            </w:r>
          </w:p>
        </w:tc>
        <w:tc>
          <w:tcPr>
            <w:tcW w:w="2984" w:type="dxa"/>
            <w:gridSpan w:val="2"/>
          </w:tcPr>
          <w:p>
            <w:pPr>
              <w:pStyle w:val="26"/>
              <w:spacing w:before="1" w:line="240" w:lineRule="auto"/>
              <w:rPr>
                <w:b/>
                <w:color w:val="auto"/>
                <w:sz w:val="14"/>
                <w:highlight w:val="none"/>
              </w:rPr>
            </w:pPr>
          </w:p>
          <w:p>
            <w:pPr>
              <w:pStyle w:val="26"/>
              <w:spacing w:before="1" w:line="240" w:lineRule="auto"/>
              <w:ind w:left="14"/>
              <w:rPr>
                <w:rFonts w:hint="eastAsia" w:eastAsia="楷体"/>
                <w:color w:val="auto"/>
                <w:sz w:val="20"/>
                <w:highlight w:val="none"/>
                <w:lang w:eastAsia="zh-CN"/>
              </w:rPr>
            </w:pPr>
            <w:r>
              <w:rPr>
                <w:color w:val="auto"/>
                <w:sz w:val="20"/>
                <w:highlight w:val="none"/>
              </w:rPr>
              <w:t>石方</w:t>
            </w:r>
            <w:r>
              <w:rPr>
                <w:rFonts w:hint="eastAsia"/>
                <w:color w:val="auto"/>
                <w:sz w:val="20"/>
                <w:highlight w:val="none"/>
                <w:lang w:eastAsia="zh-CN"/>
              </w:rPr>
              <w:t>土方（外购石渣）</w:t>
            </w:r>
          </w:p>
        </w:tc>
        <w:tc>
          <w:tcPr>
            <w:tcW w:w="472" w:type="dxa"/>
            <w:gridSpan w:val="2"/>
          </w:tcPr>
          <w:p>
            <w:pPr>
              <w:pStyle w:val="26"/>
              <w:spacing w:before="1" w:line="240" w:lineRule="auto"/>
              <w:rPr>
                <w:b/>
                <w:color w:val="auto"/>
                <w:sz w:val="14"/>
                <w:highlight w:val="none"/>
              </w:rPr>
            </w:pPr>
          </w:p>
          <w:p>
            <w:pPr>
              <w:pStyle w:val="26"/>
              <w:spacing w:before="1" w:line="240" w:lineRule="auto"/>
              <w:ind w:left="117" w:right="106"/>
              <w:jc w:val="center"/>
              <w:rPr>
                <w:color w:val="auto"/>
                <w:sz w:val="20"/>
                <w:highlight w:val="none"/>
              </w:rPr>
            </w:pPr>
            <w:r>
              <w:rPr>
                <w:color w:val="auto"/>
                <w:sz w:val="20"/>
                <w:highlight w:val="none"/>
              </w:rPr>
              <w:t>m3</w:t>
            </w:r>
          </w:p>
        </w:tc>
        <w:tc>
          <w:tcPr>
            <w:tcW w:w="973" w:type="dxa"/>
            <w:gridSpan w:val="2"/>
          </w:tcPr>
          <w:p>
            <w:pPr>
              <w:pStyle w:val="26"/>
              <w:spacing w:before="1" w:line="240" w:lineRule="auto"/>
              <w:rPr>
                <w:b/>
                <w:color w:val="auto"/>
                <w:sz w:val="14"/>
                <w:highlight w:val="none"/>
              </w:rPr>
            </w:pPr>
          </w:p>
          <w:p>
            <w:pPr>
              <w:pStyle w:val="26"/>
              <w:spacing w:before="1" w:line="240" w:lineRule="auto"/>
              <w:ind w:right="3"/>
              <w:jc w:val="right"/>
              <w:rPr>
                <w:color w:val="auto"/>
                <w:sz w:val="20"/>
                <w:highlight w:val="none"/>
              </w:rPr>
            </w:pPr>
            <w:r>
              <w:rPr>
                <w:rFonts w:hint="eastAsia"/>
                <w:color w:val="auto"/>
                <w:sz w:val="20"/>
                <w:highlight w:val="none"/>
                <w:lang w:val="en-US" w:eastAsia="zh-CN"/>
              </w:rPr>
              <w:t>1701.0</w:t>
            </w:r>
            <w:r>
              <w:rPr>
                <w:color w:val="auto"/>
                <w:sz w:val="20"/>
                <w:highlight w:val="none"/>
              </w:rPr>
              <w:t>00</w:t>
            </w: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807" w:type="dxa"/>
            <w:vMerge w:val="continue"/>
            <w:vAlign w:val="center"/>
          </w:tcPr>
          <w:p>
            <w:pPr>
              <w:jc w:val="center"/>
              <w:rPr>
                <w:color w:val="auto"/>
                <w:sz w:val="2"/>
                <w:szCs w:val="2"/>
                <w:highlight w:val="none"/>
              </w:rPr>
            </w:pPr>
          </w:p>
        </w:tc>
        <w:tc>
          <w:tcPr>
            <w:tcW w:w="733" w:type="dxa"/>
          </w:tcPr>
          <w:p>
            <w:pPr>
              <w:pStyle w:val="26"/>
              <w:spacing w:before="178" w:line="240" w:lineRule="auto"/>
              <w:ind w:left="102" w:right="87"/>
              <w:jc w:val="center"/>
              <w:rPr>
                <w:color w:val="auto"/>
                <w:sz w:val="20"/>
                <w:highlight w:val="none"/>
              </w:rPr>
            </w:pPr>
            <w:r>
              <w:rPr>
                <w:color w:val="auto"/>
                <w:sz w:val="20"/>
                <w:highlight w:val="none"/>
              </w:rPr>
              <w:t>209</w:t>
            </w:r>
          </w:p>
        </w:tc>
        <w:tc>
          <w:tcPr>
            <w:tcW w:w="2984" w:type="dxa"/>
            <w:gridSpan w:val="2"/>
          </w:tcPr>
          <w:p>
            <w:pPr>
              <w:pStyle w:val="26"/>
              <w:spacing w:before="178" w:line="240" w:lineRule="auto"/>
              <w:ind w:left="14"/>
              <w:rPr>
                <w:color w:val="auto"/>
                <w:sz w:val="20"/>
                <w:highlight w:val="none"/>
              </w:rPr>
            </w:pPr>
            <w:r>
              <w:rPr>
                <w:color w:val="auto"/>
                <w:sz w:val="20"/>
                <w:highlight w:val="none"/>
              </w:rPr>
              <w:t>挡土墙</w:t>
            </w:r>
          </w:p>
        </w:tc>
        <w:tc>
          <w:tcPr>
            <w:tcW w:w="472" w:type="dxa"/>
            <w:gridSpan w:val="2"/>
          </w:tcPr>
          <w:p>
            <w:pPr>
              <w:pStyle w:val="26"/>
              <w:spacing w:line="240" w:lineRule="auto"/>
              <w:rPr>
                <w:rFonts w:ascii="Times New Roman"/>
                <w:color w:val="auto"/>
                <w:sz w:val="18"/>
                <w:highlight w:val="none"/>
              </w:rPr>
            </w:pPr>
          </w:p>
        </w:tc>
        <w:tc>
          <w:tcPr>
            <w:tcW w:w="973" w:type="dxa"/>
            <w:gridSpan w:val="2"/>
          </w:tcPr>
          <w:p>
            <w:pPr>
              <w:pStyle w:val="26"/>
              <w:spacing w:line="240" w:lineRule="auto"/>
              <w:rPr>
                <w:rFonts w:ascii="Times New Roman"/>
                <w:color w:val="auto"/>
                <w:sz w:val="18"/>
                <w:highlight w:val="none"/>
              </w:rPr>
            </w:pP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807" w:type="dxa"/>
            <w:vMerge w:val="continue"/>
            <w:vAlign w:val="center"/>
          </w:tcPr>
          <w:p>
            <w:pPr>
              <w:jc w:val="center"/>
              <w:rPr>
                <w:color w:val="auto"/>
                <w:sz w:val="2"/>
                <w:szCs w:val="2"/>
                <w:highlight w:val="none"/>
              </w:rPr>
            </w:pPr>
          </w:p>
        </w:tc>
        <w:tc>
          <w:tcPr>
            <w:tcW w:w="733" w:type="dxa"/>
          </w:tcPr>
          <w:p>
            <w:pPr>
              <w:pStyle w:val="26"/>
              <w:spacing w:before="1" w:line="240" w:lineRule="auto"/>
              <w:rPr>
                <w:b/>
                <w:color w:val="auto"/>
                <w:sz w:val="14"/>
                <w:highlight w:val="none"/>
              </w:rPr>
            </w:pPr>
          </w:p>
          <w:p>
            <w:pPr>
              <w:pStyle w:val="26"/>
              <w:spacing w:line="240" w:lineRule="auto"/>
              <w:ind w:left="102" w:right="91"/>
              <w:jc w:val="center"/>
              <w:rPr>
                <w:color w:val="auto"/>
                <w:sz w:val="20"/>
                <w:highlight w:val="none"/>
              </w:rPr>
            </w:pPr>
            <w:r>
              <w:rPr>
                <w:color w:val="auto"/>
                <w:sz w:val="20"/>
                <w:highlight w:val="none"/>
              </w:rPr>
              <w:t>209-3</w:t>
            </w:r>
          </w:p>
        </w:tc>
        <w:tc>
          <w:tcPr>
            <w:tcW w:w="2984" w:type="dxa"/>
            <w:gridSpan w:val="2"/>
          </w:tcPr>
          <w:p>
            <w:pPr>
              <w:pStyle w:val="26"/>
              <w:spacing w:before="1" w:line="240" w:lineRule="auto"/>
              <w:rPr>
                <w:b/>
                <w:color w:val="auto"/>
                <w:sz w:val="14"/>
                <w:highlight w:val="none"/>
              </w:rPr>
            </w:pPr>
          </w:p>
          <w:p>
            <w:pPr>
              <w:pStyle w:val="26"/>
              <w:spacing w:line="240" w:lineRule="auto"/>
              <w:ind w:left="14"/>
              <w:rPr>
                <w:color w:val="auto"/>
                <w:sz w:val="20"/>
                <w:highlight w:val="none"/>
              </w:rPr>
            </w:pPr>
            <w:r>
              <w:rPr>
                <w:color w:val="auto"/>
                <w:sz w:val="20"/>
                <w:highlight w:val="none"/>
              </w:rPr>
              <w:t>砌体挡土墙</w:t>
            </w:r>
          </w:p>
        </w:tc>
        <w:tc>
          <w:tcPr>
            <w:tcW w:w="472" w:type="dxa"/>
            <w:gridSpan w:val="2"/>
          </w:tcPr>
          <w:p>
            <w:pPr>
              <w:pStyle w:val="26"/>
              <w:spacing w:line="240" w:lineRule="auto"/>
              <w:rPr>
                <w:rFonts w:ascii="Times New Roman"/>
                <w:color w:val="auto"/>
                <w:sz w:val="18"/>
                <w:highlight w:val="none"/>
              </w:rPr>
            </w:pPr>
          </w:p>
        </w:tc>
        <w:tc>
          <w:tcPr>
            <w:tcW w:w="973" w:type="dxa"/>
            <w:gridSpan w:val="2"/>
          </w:tcPr>
          <w:p>
            <w:pPr>
              <w:pStyle w:val="26"/>
              <w:spacing w:line="240" w:lineRule="auto"/>
              <w:rPr>
                <w:rFonts w:ascii="Times New Roman"/>
                <w:color w:val="auto"/>
                <w:sz w:val="18"/>
                <w:highlight w:val="none"/>
              </w:rPr>
            </w:pP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807" w:type="dxa"/>
            <w:vMerge w:val="continue"/>
            <w:tcBorders>
              <w:bottom w:val="single" w:color="auto" w:sz="4" w:space="0"/>
            </w:tcBorders>
            <w:vAlign w:val="center"/>
          </w:tcPr>
          <w:p>
            <w:pPr>
              <w:jc w:val="center"/>
              <w:rPr>
                <w:color w:val="auto"/>
                <w:sz w:val="2"/>
                <w:szCs w:val="2"/>
                <w:highlight w:val="none"/>
              </w:rPr>
            </w:pPr>
          </w:p>
        </w:tc>
        <w:tc>
          <w:tcPr>
            <w:tcW w:w="733" w:type="dxa"/>
          </w:tcPr>
          <w:p>
            <w:pPr>
              <w:pStyle w:val="26"/>
              <w:spacing w:before="178" w:line="240" w:lineRule="auto"/>
              <w:ind w:left="102" w:right="88"/>
              <w:jc w:val="center"/>
              <w:rPr>
                <w:color w:val="auto"/>
                <w:sz w:val="20"/>
                <w:highlight w:val="none"/>
              </w:rPr>
            </w:pPr>
            <w:r>
              <w:rPr>
                <w:color w:val="auto"/>
                <w:sz w:val="20"/>
                <w:highlight w:val="none"/>
              </w:rPr>
              <w:t>-a</w:t>
            </w:r>
          </w:p>
        </w:tc>
        <w:tc>
          <w:tcPr>
            <w:tcW w:w="2984" w:type="dxa"/>
            <w:gridSpan w:val="2"/>
          </w:tcPr>
          <w:p>
            <w:pPr>
              <w:pStyle w:val="26"/>
              <w:spacing w:before="178" w:line="240" w:lineRule="auto"/>
              <w:ind w:left="14"/>
              <w:rPr>
                <w:color w:val="auto"/>
                <w:sz w:val="20"/>
                <w:highlight w:val="none"/>
              </w:rPr>
            </w:pPr>
            <w:r>
              <w:rPr>
                <w:color w:val="auto"/>
                <w:sz w:val="20"/>
                <w:highlight w:val="none"/>
              </w:rPr>
              <w:t>M7.5 浆砌片石</w:t>
            </w:r>
          </w:p>
        </w:tc>
        <w:tc>
          <w:tcPr>
            <w:tcW w:w="472" w:type="dxa"/>
            <w:gridSpan w:val="2"/>
          </w:tcPr>
          <w:p>
            <w:pPr>
              <w:pStyle w:val="26"/>
              <w:spacing w:before="178" w:line="240" w:lineRule="auto"/>
              <w:ind w:left="117" w:right="106"/>
              <w:jc w:val="center"/>
              <w:rPr>
                <w:color w:val="auto"/>
                <w:sz w:val="20"/>
                <w:highlight w:val="none"/>
              </w:rPr>
            </w:pPr>
            <w:r>
              <w:rPr>
                <w:color w:val="auto"/>
                <w:sz w:val="20"/>
                <w:highlight w:val="none"/>
              </w:rPr>
              <w:t>m3</w:t>
            </w:r>
          </w:p>
        </w:tc>
        <w:tc>
          <w:tcPr>
            <w:tcW w:w="973" w:type="dxa"/>
            <w:gridSpan w:val="2"/>
          </w:tcPr>
          <w:p>
            <w:pPr>
              <w:pStyle w:val="26"/>
              <w:spacing w:before="178" w:line="240" w:lineRule="auto"/>
              <w:ind w:right="3"/>
              <w:jc w:val="right"/>
              <w:rPr>
                <w:color w:val="auto"/>
                <w:sz w:val="20"/>
                <w:highlight w:val="none"/>
              </w:rPr>
            </w:pPr>
            <w:r>
              <w:rPr>
                <w:rFonts w:hint="eastAsia"/>
                <w:color w:val="auto"/>
                <w:w w:val="95"/>
                <w:sz w:val="20"/>
                <w:highlight w:val="none"/>
                <w:lang w:val="en-US" w:eastAsia="zh-CN"/>
              </w:rPr>
              <w:t>267</w:t>
            </w:r>
            <w:r>
              <w:rPr>
                <w:color w:val="auto"/>
                <w:w w:val="95"/>
                <w:sz w:val="20"/>
                <w:highlight w:val="none"/>
              </w:rPr>
              <w:t>.000</w:t>
            </w: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807" w:type="dxa"/>
            <w:vMerge w:val="restart"/>
            <w:tcBorders>
              <w:top w:val="single" w:color="auto" w:sz="4" w:space="0"/>
              <w:left w:val="single" w:color="auto" w:sz="4" w:space="0"/>
              <w:bottom w:val="single" w:color="auto" w:sz="4" w:space="0"/>
              <w:right w:val="single" w:color="auto" w:sz="4" w:space="0"/>
            </w:tcBorders>
            <w:vAlign w:val="center"/>
          </w:tcPr>
          <w:p>
            <w:pPr>
              <w:pStyle w:val="26"/>
              <w:spacing w:before="3"/>
              <w:jc w:val="center"/>
              <w:rPr>
                <w:b/>
                <w:color w:val="auto"/>
                <w:sz w:val="26"/>
                <w:highlight w:val="none"/>
              </w:rPr>
            </w:pPr>
          </w:p>
          <w:p>
            <w:pPr>
              <w:pStyle w:val="26"/>
              <w:tabs>
                <w:tab w:val="left" w:pos="1015"/>
              </w:tabs>
              <w:spacing w:line="292" w:lineRule="auto"/>
              <w:ind w:right="2" w:rightChars="0"/>
              <w:jc w:val="center"/>
              <w:rPr>
                <w:color w:val="auto"/>
                <w:sz w:val="2"/>
                <w:szCs w:val="2"/>
                <w:highlight w:val="none"/>
              </w:rPr>
            </w:pPr>
            <w:r>
              <w:rPr>
                <w:color w:val="auto"/>
                <w:sz w:val="20"/>
                <w:highlight w:val="none"/>
              </w:rPr>
              <w:t>第</w:t>
            </w:r>
            <w:r>
              <w:rPr>
                <w:color w:val="auto"/>
                <w:spacing w:val="-48"/>
                <w:sz w:val="20"/>
                <w:highlight w:val="none"/>
              </w:rPr>
              <w:t xml:space="preserve"> </w:t>
            </w:r>
            <w:r>
              <w:rPr>
                <w:color w:val="auto"/>
                <w:sz w:val="20"/>
                <w:highlight w:val="none"/>
              </w:rPr>
              <w:t>400</w:t>
            </w:r>
            <w:r>
              <w:rPr>
                <w:color w:val="auto"/>
                <w:spacing w:val="-52"/>
                <w:sz w:val="20"/>
                <w:highlight w:val="none"/>
              </w:rPr>
              <w:t xml:space="preserve"> </w:t>
            </w:r>
            <w:r>
              <w:rPr>
                <w:color w:val="auto"/>
                <w:sz w:val="20"/>
                <w:highlight w:val="none"/>
              </w:rPr>
              <w:t>章</w:t>
            </w:r>
            <w:r>
              <w:rPr>
                <w:color w:val="auto"/>
                <w:sz w:val="20"/>
                <w:highlight w:val="none"/>
              </w:rPr>
              <w:tab/>
            </w:r>
            <w:r>
              <w:rPr>
                <w:color w:val="auto"/>
                <w:sz w:val="20"/>
                <w:highlight w:val="none"/>
              </w:rPr>
              <w:t>桥梁</w:t>
            </w:r>
            <w:r>
              <w:rPr>
                <w:color w:val="auto"/>
                <w:spacing w:val="-29"/>
                <w:sz w:val="20"/>
                <w:highlight w:val="none"/>
              </w:rPr>
              <w:t>、</w:t>
            </w:r>
            <w:r>
              <w:rPr>
                <w:color w:val="auto"/>
                <w:spacing w:val="-17"/>
                <w:sz w:val="20"/>
                <w:highlight w:val="none"/>
              </w:rPr>
              <w:t>涵</w:t>
            </w:r>
            <w:r>
              <w:rPr>
                <w:color w:val="auto"/>
                <w:sz w:val="20"/>
                <w:highlight w:val="none"/>
              </w:rPr>
              <w:t>洞</w:t>
            </w:r>
          </w:p>
        </w:tc>
        <w:tc>
          <w:tcPr>
            <w:tcW w:w="733" w:type="dxa"/>
            <w:tcBorders>
              <w:left w:val="single" w:color="auto" w:sz="4" w:space="0"/>
            </w:tcBorders>
            <w:vAlign w:val="top"/>
          </w:tcPr>
          <w:p>
            <w:pPr>
              <w:pStyle w:val="26"/>
              <w:spacing w:before="1" w:line="240" w:lineRule="auto"/>
              <w:rPr>
                <w:b/>
                <w:color w:val="auto"/>
                <w:sz w:val="14"/>
                <w:highlight w:val="none"/>
              </w:rPr>
            </w:pPr>
          </w:p>
          <w:p>
            <w:pPr>
              <w:pStyle w:val="26"/>
              <w:spacing w:line="240" w:lineRule="auto"/>
              <w:ind w:left="102" w:leftChars="0" w:right="87" w:rightChars="0"/>
              <w:jc w:val="center"/>
              <w:rPr>
                <w:color w:val="auto"/>
                <w:sz w:val="20"/>
                <w:highlight w:val="none"/>
              </w:rPr>
            </w:pPr>
            <w:r>
              <w:rPr>
                <w:color w:val="auto"/>
                <w:sz w:val="20"/>
                <w:highlight w:val="none"/>
              </w:rPr>
              <w:t>419</w:t>
            </w:r>
          </w:p>
        </w:tc>
        <w:tc>
          <w:tcPr>
            <w:tcW w:w="2984" w:type="dxa"/>
            <w:gridSpan w:val="2"/>
          </w:tcPr>
          <w:p>
            <w:pPr>
              <w:pStyle w:val="26"/>
              <w:spacing w:before="178" w:line="240" w:lineRule="auto"/>
              <w:ind w:left="14"/>
              <w:rPr>
                <w:color w:val="auto"/>
                <w:sz w:val="20"/>
                <w:highlight w:val="none"/>
              </w:rPr>
            </w:pPr>
            <w:r>
              <w:rPr>
                <w:color w:val="auto"/>
                <w:sz w:val="20"/>
                <w:highlight w:val="none"/>
              </w:rPr>
              <w:t>圆管涵及倒虹吸管涵</w:t>
            </w:r>
          </w:p>
        </w:tc>
        <w:tc>
          <w:tcPr>
            <w:tcW w:w="472" w:type="dxa"/>
            <w:gridSpan w:val="2"/>
          </w:tcPr>
          <w:p>
            <w:pPr>
              <w:pStyle w:val="26"/>
              <w:spacing w:before="178" w:line="240" w:lineRule="auto"/>
              <w:ind w:left="117" w:right="106"/>
              <w:jc w:val="center"/>
              <w:rPr>
                <w:color w:val="auto"/>
                <w:sz w:val="20"/>
                <w:highlight w:val="none"/>
              </w:rPr>
            </w:pPr>
          </w:p>
        </w:tc>
        <w:tc>
          <w:tcPr>
            <w:tcW w:w="973" w:type="dxa"/>
            <w:gridSpan w:val="2"/>
          </w:tcPr>
          <w:p>
            <w:pPr>
              <w:pStyle w:val="26"/>
              <w:spacing w:before="178" w:line="240" w:lineRule="auto"/>
              <w:ind w:right="3"/>
              <w:jc w:val="right"/>
              <w:rPr>
                <w:rFonts w:hint="eastAsia"/>
                <w:color w:val="auto"/>
                <w:w w:val="95"/>
                <w:sz w:val="20"/>
                <w:highlight w:val="none"/>
                <w:lang w:val="en-US" w:eastAsia="zh-CN"/>
              </w:rPr>
            </w:pP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807" w:type="dxa"/>
            <w:vMerge w:val="continue"/>
            <w:tcBorders>
              <w:top w:val="single" w:color="auto" w:sz="4" w:space="0"/>
              <w:left w:val="single" w:color="auto" w:sz="4" w:space="0"/>
              <w:bottom w:val="single" w:color="auto" w:sz="4" w:space="0"/>
              <w:right w:val="single" w:color="auto" w:sz="4" w:space="0"/>
            </w:tcBorders>
          </w:tcPr>
          <w:p>
            <w:pPr>
              <w:rPr>
                <w:color w:val="auto"/>
                <w:sz w:val="2"/>
                <w:szCs w:val="2"/>
                <w:highlight w:val="none"/>
              </w:rPr>
            </w:pPr>
          </w:p>
        </w:tc>
        <w:tc>
          <w:tcPr>
            <w:tcW w:w="733" w:type="dxa"/>
            <w:tcBorders>
              <w:left w:val="single" w:color="auto" w:sz="4" w:space="0"/>
            </w:tcBorders>
          </w:tcPr>
          <w:p>
            <w:pPr>
              <w:pStyle w:val="26"/>
              <w:spacing w:before="178" w:line="240" w:lineRule="auto"/>
              <w:ind w:left="102" w:right="88"/>
              <w:jc w:val="center"/>
              <w:rPr>
                <w:rFonts w:hint="eastAsia" w:eastAsia="楷体"/>
                <w:color w:val="auto"/>
                <w:sz w:val="20"/>
                <w:highlight w:val="none"/>
                <w:lang w:val="en-US" w:eastAsia="zh-CN"/>
              </w:rPr>
            </w:pPr>
            <w:r>
              <w:rPr>
                <w:color w:val="auto"/>
                <w:sz w:val="20"/>
                <w:highlight w:val="none"/>
              </w:rPr>
              <w:t>419-</w:t>
            </w:r>
            <w:r>
              <w:rPr>
                <w:rFonts w:hint="eastAsia"/>
                <w:color w:val="auto"/>
                <w:sz w:val="20"/>
                <w:highlight w:val="none"/>
                <w:lang w:val="en-US" w:eastAsia="zh-CN"/>
              </w:rPr>
              <w:t>1</w:t>
            </w:r>
          </w:p>
        </w:tc>
        <w:tc>
          <w:tcPr>
            <w:tcW w:w="2984" w:type="dxa"/>
            <w:gridSpan w:val="2"/>
          </w:tcPr>
          <w:p>
            <w:pPr>
              <w:pStyle w:val="26"/>
              <w:spacing w:before="178" w:line="240" w:lineRule="auto"/>
              <w:ind w:left="14"/>
              <w:rPr>
                <w:color w:val="auto"/>
                <w:sz w:val="20"/>
                <w:highlight w:val="none"/>
              </w:rPr>
            </w:pPr>
            <w:r>
              <w:rPr>
                <w:rFonts w:hint="eastAsia"/>
                <w:color w:val="auto"/>
                <w:sz w:val="20"/>
                <w:highlight w:val="none"/>
                <w:lang w:eastAsia="zh-CN"/>
              </w:rPr>
              <w:t>单孔</w:t>
            </w:r>
            <w:r>
              <w:rPr>
                <w:color w:val="auto"/>
                <w:sz w:val="20"/>
                <w:highlight w:val="none"/>
              </w:rPr>
              <w:t>钢筋混凝土圆管涵</w:t>
            </w:r>
          </w:p>
        </w:tc>
        <w:tc>
          <w:tcPr>
            <w:tcW w:w="472" w:type="dxa"/>
            <w:gridSpan w:val="2"/>
          </w:tcPr>
          <w:p>
            <w:pPr>
              <w:pStyle w:val="26"/>
              <w:spacing w:before="178" w:line="240" w:lineRule="auto"/>
              <w:ind w:left="117" w:right="106"/>
              <w:jc w:val="center"/>
              <w:rPr>
                <w:color w:val="auto"/>
                <w:sz w:val="20"/>
                <w:highlight w:val="none"/>
              </w:rPr>
            </w:pPr>
          </w:p>
        </w:tc>
        <w:tc>
          <w:tcPr>
            <w:tcW w:w="973" w:type="dxa"/>
            <w:gridSpan w:val="2"/>
          </w:tcPr>
          <w:p>
            <w:pPr>
              <w:pStyle w:val="26"/>
              <w:spacing w:before="178" w:line="240" w:lineRule="auto"/>
              <w:ind w:right="3"/>
              <w:jc w:val="right"/>
              <w:rPr>
                <w:rFonts w:hint="eastAsia"/>
                <w:color w:val="auto"/>
                <w:w w:val="95"/>
                <w:sz w:val="20"/>
                <w:highlight w:val="none"/>
                <w:lang w:val="en-US" w:eastAsia="zh-CN"/>
              </w:rPr>
            </w:pP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807" w:type="dxa"/>
            <w:vMerge w:val="continue"/>
            <w:tcBorders>
              <w:top w:val="single" w:color="auto" w:sz="4" w:space="0"/>
              <w:left w:val="single" w:color="auto" w:sz="4" w:space="0"/>
              <w:bottom w:val="single" w:color="auto" w:sz="4" w:space="0"/>
              <w:right w:val="single" w:color="auto" w:sz="4" w:space="0"/>
            </w:tcBorders>
          </w:tcPr>
          <w:p>
            <w:pPr>
              <w:rPr>
                <w:color w:val="auto"/>
                <w:sz w:val="2"/>
                <w:szCs w:val="2"/>
                <w:highlight w:val="none"/>
              </w:rPr>
            </w:pPr>
          </w:p>
        </w:tc>
        <w:tc>
          <w:tcPr>
            <w:tcW w:w="733" w:type="dxa"/>
            <w:tcBorders>
              <w:left w:val="single" w:color="auto" w:sz="4" w:space="0"/>
            </w:tcBorders>
          </w:tcPr>
          <w:p>
            <w:pPr>
              <w:pStyle w:val="26"/>
              <w:spacing w:before="178" w:line="240" w:lineRule="auto"/>
              <w:ind w:left="102" w:right="88"/>
              <w:jc w:val="center"/>
              <w:rPr>
                <w:rFonts w:hint="default" w:eastAsia="楷体"/>
                <w:color w:val="auto"/>
                <w:sz w:val="20"/>
                <w:highlight w:val="none"/>
                <w:lang w:val="en-US" w:eastAsia="zh-CN"/>
              </w:rPr>
            </w:pPr>
            <w:r>
              <w:rPr>
                <w:rFonts w:hint="eastAsia"/>
                <w:color w:val="auto"/>
                <w:sz w:val="20"/>
                <w:highlight w:val="none"/>
                <w:lang w:val="en-US" w:eastAsia="zh-CN"/>
              </w:rPr>
              <w:t>-a-1</w:t>
            </w:r>
          </w:p>
        </w:tc>
        <w:tc>
          <w:tcPr>
            <w:tcW w:w="2984" w:type="dxa"/>
            <w:gridSpan w:val="2"/>
          </w:tcPr>
          <w:p>
            <w:pPr>
              <w:pStyle w:val="26"/>
              <w:spacing w:before="178" w:line="240" w:lineRule="auto"/>
              <w:ind w:left="14"/>
              <w:rPr>
                <w:rFonts w:hint="default" w:eastAsia="楷体"/>
                <w:color w:val="auto"/>
                <w:sz w:val="20"/>
                <w:highlight w:val="none"/>
                <w:lang w:val="en-US" w:eastAsia="zh-CN"/>
              </w:rPr>
            </w:pPr>
            <w:r>
              <w:rPr>
                <w:rFonts w:hint="eastAsia"/>
                <w:color w:val="auto"/>
                <w:sz w:val="20"/>
                <w:highlight w:val="none"/>
                <w:lang w:val="en-US" w:eastAsia="zh-CN"/>
              </w:rPr>
              <w:t>新建Φ1-0.6m</w:t>
            </w:r>
            <w:r>
              <w:rPr>
                <w:color w:val="auto"/>
                <w:sz w:val="20"/>
                <w:highlight w:val="none"/>
              </w:rPr>
              <w:t>圆管涵</w:t>
            </w:r>
          </w:p>
        </w:tc>
        <w:tc>
          <w:tcPr>
            <w:tcW w:w="472" w:type="dxa"/>
            <w:gridSpan w:val="2"/>
          </w:tcPr>
          <w:p>
            <w:pPr>
              <w:pStyle w:val="26"/>
              <w:spacing w:before="178" w:line="240" w:lineRule="auto"/>
              <w:ind w:left="117" w:right="106"/>
              <w:jc w:val="center"/>
              <w:rPr>
                <w:rFonts w:hint="default"/>
                <w:color w:val="auto"/>
                <w:sz w:val="20"/>
                <w:highlight w:val="none"/>
                <w:lang w:val="en-US" w:eastAsia="zh-CN"/>
              </w:rPr>
            </w:pPr>
            <w:r>
              <w:rPr>
                <w:rFonts w:hint="eastAsia"/>
                <w:color w:val="auto"/>
                <w:sz w:val="20"/>
                <w:highlight w:val="none"/>
                <w:lang w:val="en-US" w:eastAsia="zh-CN"/>
              </w:rPr>
              <w:t>m</w:t>
            </w:r>
          </w:p>
        </w:tc>
        <w:tc>
          <w:tcPr>
            <w:tcW w:w="973" w:type="dxa"/>
            <w:gridSpan w:val="2"/>
          </w:tcPr>
          <w:p>
            <w:pPr>
              <w:pStyle w:val="26"/>
              <w:spacing w:before="178" w:line="240" w:lineRule="auto"/>
              <w:ind w:right="3"/>
              <w:jc w:val="right"/>
              <w:rPr>
                <w:rFonts w:hint="default"/>
                <w:color w:val="auto"/>
                <w:w w:val="95"/>
                <w:sz w:val="20"/>
                <w:highlight w:val="none"/>
                <w:lang w:val="en-US" w:eastAsia="zh-CN"/>
              </w:rPr>
            </w:pPr>
            <w:r>
              <w:rPr>
                <w:rFonts w:hint="eastAsia"/>
                <w:color w:val="auto"/>
                <w:w w:val="95"/>
                <w:sz w:val="20"/>
                <w:highlight w:val="none"/>
                <w:lang w:val="en-US" w:eastAsia="zh-CN"/>
              </w:rPr>
              <w:t>42.000</w:t>
            </w: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807" w:type="dxa"/>
            <w:vMerge w:val="continue"/>
            <w:tcBorders>
              <w:top w:val="single" w:color="auto" w:sz="4" w:space="0"/>
              <w:left w:val="single" w:color="auto" w:sz="4" w:space="0"/>
              <w:bottom w:val="single" w:color="auto" w:sz="4" w:space="0"/>
              <w:right w:val="single" w:color="auto" w:sz="4" w:space="0"/>
            </w:tcBorders>
          </w:tcPr>
          <w:p>
            <w:pPr>
              <w:rPr>
                <w:color w:val="auto"/>
                <w:sz w:val="2"/>
                <w:szCs w:val="2"/>
                <w:highlight w:val="none"/>
              </w:rPr>
            </w:pPr>
          </w:p>
        </w:tc>
        <w:tc>
          <w:tcPr>
            <w:tcW w:w="733" w:type="dxa"/>
            <w:tcBorders>
              <w:left w:val="single" w:color="auto" w:sz="4" w:space="0"/>
            </w:tcBorders>
            <w:vAlign w:val="top"/>
          </w:tcPr>
          <w:p>
            <w:pPr>
              <w:pStyle w:val="26"/>
              <w:spacing w:before="178" w:line="240" w:lineRule="auto"/>
              <w:ind w:left="102" w:leftChars="0" w:right="88" w:rightChars="0"/>
              <w:jc w:val="center"/>
              <w:rPr>
                <w:color w:val="auto"/>
                <w:sz w:val="20"/>
                <w:highlight w:val="none"/>
              </w:rPr>
            </w:pPr>
            <w:r>
              <w:rPr>
                <w:rFonts w:hint="eastAsia"/>
                <w:color w:val="auto"/>
                <w:sz w:val="20"/>
                <w:highlight w:val="none"/>
                <w:lang w:val="en-US" w:eastAsia="zh-CN"/>
              </w:rPr>
              <w:t>-a-2</w:t>
            </w:r>
          </w:p>
        </w:tc>
        <w:tc>
          <w:tcPr>
            <w:tcW w:w="2984" w:type="dxa"/>
            <w:gridSpan w:val="2"/>
            <w:vAlign w:val="top"/>
          </w:tcPr>
          <w:p>
            <w:pPr>
              <w:pStyle w:val="26"/>
              <w:spacing w:before="178" w:line="240" w:lineRule="auto"/>
              <w:ind w:left="14" w:leftChars="0" w:right="0" w:rightChars="0"/>
              <w:rPr>
                <w:color w:val="auto"/>
                <w:sz w:val="20"/>
                <w:highlight w:val="none"/>
              </w:rPr>
            </w:pPr>
            <w:r>
              <w:rPr>
                <w:rFonts w:hint="eastAsia"/>
                <w:color w:val="auto"/>
                <w:sz w:val="20"/>
                <w:highlight w:val="none"/>
                <w:lang w:val="en-US" w:eastAsia="zh-CN"/>
              </w:rPr>
              <w:t>新建Φ1-0.8m</w:t>
            </w:r>
            <w:r>
              <w:rPr>
                <w:color w:val="auto"/>
                <w:sz w:val="20"/>
                <w:highlight w:val="none"/>
              </w:rPr>
              <w:t>圆管涵</w:t>
            </w:r>
          </w:p>
        </w:tc>
        <w:tc>
          <w:tcPr>
            <w:tcW w:w="472" w:type="dxa"/>
            <w:gridSpan w:val="2"/>
          </w:tcPr>
          <w:p>
            <w:pPr>
              <w:pStyle w:val="26"/>
              <w:spacing w:before="178" w:line="240" w:lineRule="auto"/>
              <w:ind w:left="117" w:right="106"/>
              <w:jc w:val="center"/>
              <w:rPr>
                <w:rFonts w:hint="eastAsia" w:eastAsia="楷体"/>
                <w:color w:val="auto"/>
                <w:sz w:val="20"/>
                <w:highlight w:val="none"/>
                <w:lang w:val="en-US" w:eastAsia="zh-CN"/>
              </w:rPr>
            </w:pPr>
            <w:r>
              <w:rPr>
                <w:rFonts w:hint="eastAsia"/>
                <w:color w:val="auto"/>
                <w:sz w:val="20"/>
                <w:highlight w:val="none"/>
                <w:lang w:val="en-US" w:eastAsia="zh-CN"/>
              </w:rPr>
              <w:t>m</w:t>
            </w:r>
          </w:p>
        </w:tc>
        <w:tc>
          <w:tcPr>
            <w:tcW w:w="973" w:type="dxa"/>
            <w:gridSpan w:val="2"/>
          </w:tcPr>
          <w:p>
            <w:pPr>
              <w:pStyle w:val="26"/>
              <w:spacing w:before="178" w:line="240" w:lineRule="auto"/>
              <w:ind w:right="3"/>
              <w:jc w:val="right"/>
              <w:rPr>
                <w:rFonts w:hint="default"/>
                <w:color w:val="auto"/>
                <w:w w:val="95"/>
                <w:sz w:val="20"/>
                <w:highlight w:val="none"/>
                <w:lang w:val="en-US" w:eastAsia="zh-CN"/>
              </w:rPr>
            </w:pPr>
            <w:r>
              <w:rPr>
                <w:rFonts w:hint="eastAsia"/>
                <w:color w:val="auto"/>
                <w:w w:val="95"/>
                <w:sz w:val="20"/>
                <w:highlight w:val="none"/>
                <w:lang w:val="en-US" w:eastAsia="zh-CN"/>
              </w:rPr>
              <w:t>18.000</w:t>
            </w: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807" w:type="dxa"/>
            <w:vMerge w:val="continue"/>
            <w:tcBorders>
              <w:top w:val="single" w:color="auto" w:sz="4" w:space="0"/>
              <w:left w:val="single" w:color="auto" w:sz="4" w:space="0"/>
              <w:bottom w:val="single" w:color="auto" w:sz="4" w:space="0"/>
              <w:right w:val="single" w:color="auto" w:sz="4" w:space="0"/>
            </w:tcBorders>
          </w:tcPr>
          <w:p>
            <w:pPr>
              <w:rPr>
                <w:color w:val="auto"/>
                <w:sz w:val="2"/>
                <w:szCs w:val="2"/>
                <w:highlight w:val="none"/>
              </w:rPr>
            </w:pPr>
          </w:p>
        </w:tc>
        <w:tc>
          <w:tcPr>
            <w:tcW w:w="733" w:type="dxa"/>
            <w:tcBorders>
              <w:left w:val="single" w:color="auto" w:sz="4" w:space="0"/>
            </w:tcBorders>
            <w:vAlign w:val="top"/>
          </w:tcPr>
          <w:p>
            <w:pPr>
              <w:pStyle w:val="26"/>
              <w:spacing w:before="178" w:line="240" w:lineRule="auto"/>
              <w:ind w:left="102" w:leftChars="0" w:right="88" w:rightChars="0"/>
              <w:jc w:val="center"/>
              <w:rPr>
                <w:color w:val="auto"/>
                <w:sz w:val="20"/>
                <w:highlight w:val="none"/>
              </w:rPr>
            </w:pPr>
            <w:r>
              <w:rPr>
                <w:rFonts w:hint="eastAsia"/>
                <w:color w:val="auto"/>
                <w:sz w:val="20"/>
                <w:highlight w:val="none"/>
                <w:lang w:val="en-US" w:eastAsia="zh-CN"/>
              </w:rPr>
              <w:t>-a-3</w:t>
            </w:r>
          </w:p>
        </w:tc>
        <w:tc>
          <w:tcPr>
            <w:tcW w:w="2984" w:type="dxa"/>
            <w:gridSpan w:val="2"/>
            <w:vAlign w:val="top"/>
          </w:tcPr>
          <w:p>
            <w:pPr>
              <w:pStyle w:val="26"/>
              <w:spacing w:before="178" w:line="240" w:lineRule="auto"/>
              <w:ind w:left="14" w:leftChars="0" w:right="0" w:rightChars="0"/>
              <w:rPr>
                <w:color w:val="auto"/>
                <w:sz w:val="20"/>
                <w:highlight w:val="none"/>
              </w:rPr>
            </w:pPr>
            <w:r>
              <w:rPr>
                <w:rFonts w:hint="eastAsia"/>
                <w:color w:val="auto"/>
                <w:sz w:val="20"/>
                <w:highlight w:val="none"/>
                <w:lang w:val="en-US" w:eastAsia="zh-CN"/>
              </w:rPr>
              <w:t>新建Φ1-1.0m</w:t>
            </w:r>
            <w:r>
              <w:rPr>
                <w:color w:val="auto"/>
                <w:sz w:val="20"/>
                <w:highlight w:val="none"/>
              </w:rPr>
              <w:t>圆管涵</w:t>
            </w:r>
          </w:p>
        </w:tc>
        <w:tc>
          <w:tcPr>
            <w:tcW w:w="472" w:type="dxa"/>
            <w:gridSpan w:val="2"/>
          </w:tcPr>
          <w:p>
            <w:pPr>
              <w:pStyle w:val="26"/>
              <w:spacing w:before="178" w:line="240" w:lineRule="auto"/>
              <w:ind w:left="117" w:right="106"/>
              <w:jc w:val="center"/>
              <w:rPr>
                <w:rFonts w:hint="eastAsia" w:eastAsia="楷体"/>
                <w:color w:val="auto"/>
                <w:sz w:val="20"/>
                <w:highlight w:val="none"/>
                <w:lang w:val="en-US" w:eastAsia="zh-CN"/>
              </w:rPr>
            </w:pPr>
            <w:r>
              <w:rPr>
                <w:rFonts w:hint="eastAsia"/>
                <w:color w:val="auto"/>
                <w:sz w:val="20"/>
                <w:highlight w:val="none"/>
                <w:lang w:val="en-US" w:eastAsia="zh-CN"/>
              </w:rPr>
              <w:t>m</w:t>
            </w:r>
          </w:p>
        </w:tc>
        <w:tc>
          <w:tcPr>
            <w:tcW w:w="973" w:type="dxa"/>
            <w:gridSpan w:val="2"/>
          </w:tcPr>
          <w:p>
            <w:pPr>
              <w:pStyle w:val="26"/>
              <w:spacing w:before="178" w:line="240" w:lineRule="auto"/>
              <w:ind w:right="3"/>
              <w:jc w:val="right"/>
              <w:rPr>
                <w:rFonts w:hint="default"/>
                <w:color w:val="auto"/>
                <w:w w:val="95"/>
                <w:sz w:val="20"/>
                <w:highlight w:val="none"/>
                <w:lang w:val="en-US" w:eastAsia="zh-CN"/>
              </w:rPr>
            </w:pPr>
            <w:r>
              <w:rPr>
                <w:rFonts w:hint="eastAsia"/>
                <w:color w:val="auto"/>
                <w:w w:val="95"/>
                <w:sz w:val="20"/>
                <w:highlight w:val="none"/>
                <w:lang w:val="en-US" w:eastAsia="zh-CN"/>
              </w:rPr>
              <w:t>8.000</w:t>
            </w:r>
          </w:p>
        </w:tc>
        <w:tc>
          <w:tcPr>
            <w:tcW w:w="889" w:type="dxa"/>
            <w:gridSpan w:val="2"/>
          </w:tcPr>
          <w:p>
            <w:pPr>
              <w:pStyle w:val="26"/>
              <w:rPr>
                <w:rFonts w:ascii="Times New Roman"/>
                <w:color w:val="auto"/>
                <w:sz w:val="18"/>
                <w:highlight w:val="none"/>
              </w:rPr>
            </w:pPr>
          </w:p>
        </w:tc>
        <w:tc>
          <w:tcPr>
            <w:tcW w:w="1086" w:type="dxa"/>
            <w:gridSpan w:val="2"/>
          </w:tcPr>
          <w:p>
            <w:pPr>
              <w:pStyle w:val="26"/>
              <w:rPr>
                <w:rFonts w:ascii="Times New Roman"/>
                <w:color w:val="auto"/>
                <w:sz w:val="18"/>
                <w:highlight w:val="none"/>
              </w:rPr>
            </w:pPr>
          </w:p>
        </w:tc>
        <w:tc>
          <w:tcPr>
            <w:tcW w:w="712" w:type="dxa"/>
            <w:gridSpan w:val="2"/>
          </w:tcPr>
          <w:p>
            <w:pPr>
              <w:pStyle w:val="26"/>
              <w:rPr>
                <w:rFonts w:ascii="Times New Roman"/>
                <w:color w:val="auto"/>
                <w:sz w:val="18"/>
                <w:highlight w:val="none"/>
              </w:rPr>
            </w:pPr>
          </w:p>
        </w:tc>
      </w:tr>
    </w:tbl>
    <w:p>
      <w:pPr>
        <w:spacing w:after="0"/>
        <w:rPr>
          <w:rFonts w:hint="eastAsia" w:ascii="Times New Roman" w:eastAsia="楷体"/>
          <w:color w:val="auto"/>
          <w:sz w:val="18"/>
          <w:highlight w:val="none"/>
          <w:lang w:eastAsia="zh-CN"/>
        </w:rPr>
        <w:sectPr>
          <w:pgSz w:w="11910" w:h="16840"/>
          <w:pgMar w:top="1120" w:right="900" w:bottom="1120" w:left="900" w:header="0" w:footer="928" w:gutter="0"/>
        </w:sectPr>
      </w:pPr>
    </w:p>
    <w:p>
      <w:pPr>
        <w:spacing w:before="54"/>
        <w:ind w:left="0" w:right="0" w:firstLine="0"/>
        <w:jc w:val="center"/>
        <w:rPr>
          <w:b/>
          <w:color w:val="auto"/>
          <w:sz w:val="24"/>
          <w:highlight w:val="none"/>
        </w:rPr>
      </w:pPr>
      <w:r>
        <w:rPr>
          <w:b/>
          <w:color w:val="auto"/>
          <w:sz w:val="24"/>
          <w:highlight w:val="none"/>
        </w:rPr>
        <w:t>第五章 磋商响应文件基本格式</w:t>
      </w:r>
    </w:p>
    <w:p>
      <w:pPr>
        <w:pStyle w:val="7"/>
        <w:spacing w:before="11"/>
        <w:ind w:left="0"/>
        <w:rPr>
          <w:b/>
          <w:color w:val="auto"/>
          <w:sz w:val="25"/>
          <w:highlight w:val="none"/>
        </w:rPr>
      </w:pPr>
    </w:p>
    <w:p>
      <w:pPr>
        <w:spacing w:before="54"/>
        <w:ind w:left="0" w:right="229" w:firstLine="0"/>
        <w:jc w:val="right"/>
        <w:rPr>
          <w:b/>
          <w:color w:val="auto"/>
          <w:sz w:val="32"/>
          <w:highlight w:val="none"/>
        </w:rPr>
      </w:pPr>
      <w:r>
        <w:rPr>
          <w:b/>
          <w:color w:val="auto"/>
          <w:w w:val="95"/>
          <w:sz w:val="32"/>
          <w:highlight w:val="none"/>
        </w:rPr>
        <w:t>正（副）本</w:t>
      </w:r>
    </w:p>
    <w:p>
      <w:pPr>
        <w:pStyle w:val="7"/>
        <w:ind w:left="0"/>
        <w:rPr>
          <w:b/>
          <w:color w:val="auto"/>
          <w:sz w:val="32"/>
          <w:highlight w:val="none"/>
        </w:rPr>
      </w:pPr>
    </w:p>
    <w:p>
      <w:pPr>
        <w:pStyle w:val="7"/>
        <w:ind w:left="0"/>
        <w:rPr>
          <w:b/>
          <w:color w:val="auto"/>
          <w:sz w:val="45"/>
          <w:highlight w:val="none"/>
        </w:rPr>
      </w:pPr>
    </w:p>
    <w:p>
      <w:pPr>
        <w:spacing w:before="0"/>
        <w:ind w:left="0" w:right="1" w:firstLine="0"/>
        <w:jc w:val="center"/>
        <w:rPr>
          <w:rFonts w:hint="eastAsia" w:eastAsia="楷体"/>
          <w:b/>
          <w:color w:val="auto"/>
          <w:sz w:val="52"/>
          <w:highlight w:val="none"/>
          <w:lang w:eastAsia="zh-CN"/>
        </w:rPr>
      </w:pPr>
      <w:bookmarkStart w:id="7" w:name="紫阳县向阳镇芭蕉学校道路改造工程"/>
      <w:bookmarkEnd w:id="7"/>
      <w:r>
        <w:rPr>
          <w:rFonts w:hint="eastAsia"/>
          <w:b/>
          <w:color w:val="auto"/>
          <w:sz w:val="52"/>
          <w:highlight w:val="none"/>
          <w:lang w:eastAsia="zh-CN"/>
        </w:rPr>
        <w:t>紫阳县向阳镇院墙村龚家院子至显钟村公路改建工程</w:t>
      </w:r>
    </w:p>
    <w:p>
      <w:pPr>
        <w:pStyle w:val="7"/>
        <w:ind w:left="0"/>
        <w:rPr>
          <w:b/>
          <w:color w:val="auto"/>
          <w:sz w:val="52"/>
          <w:highlight w:val="none"/>
        </w:rPr>
      </w:pPr>
    </w:p>
    <w:p>
      <w:pPr>
        <w:pStyle w:val="7"/>
        <w:ind w:left="0"/>
        <w:rPr>
          <w:b/>
          <w:color w:val="auto"/>
          <w:sz w:val="52"/>
          <w:highlight w:val="none"/>
        </w:rPr>
      </w:pPr>
    </w:p>
    <w:p>
      <w:pPr>
        <w:pStyle w:val="7"/>
        <w:ind w:left="0"/>
        <w:rPr>
          <w:b/>
          <w:color w:val="auto"/>
          <w:sz w:val="52"/>
          <w:highlight w:val="none"/>
        </w:rPr>
      </w:pPr>
    </w:p>
    <w:p>
      <w:pPr>
        <w:pStyle w:val="7"/>
        <w:ind w:left="0"/>
        <w:rPr>
          <w:b/>
          <w:color w:val="auto"/>
          <w:sz w:val="52"/>
          <w:highlight w:val="none"/>
        </w:rPr>
      </w:pPr>
    </w:p>
    <w:p>
      <w:pPr>
        <w:pStyle w:val="7"/>
        <w:spacing w:before="4"/>
        <w:ind w:left="0"/>
        <w:rPr>
          <w:b/>
          <w:color w:val="auto"/>
          <w:sz w:val="65"/>
          <w:highlight w:val="none"/>
        </w:rPr>
      </w:pPr>
    </w:p>
    <w:p>
      <w:pPr>
        <w:spacing w:before="0"/>
        <w:ind w:left="0" w:right="131" w:firstLine="0"/>
        <w:jc w:val="center"/>
        <w:rPr>
          <w:b/>
          <w:color w:val="auto"/>
          <w:sz w:val="72"/>
          <w:highlight w:val="none"/>
        </w:rPr>
      </w:pPr>
      <w:r>
        <w:rPr>
          <w:b/>
          <w:color w:val="auto"/>
          <w:spacing w:val="-115"/>
          <w:sz w:val="72"/>
          <w:highlight w:val="none"/>
        </w:rPr>
        <w:t>磋 商 响 应 文 件</w:t>
      </w:r>
    </w:p>
    <w:p>
      <w:pPr>
        <w:spacing w:before="8"/>
        <w:ind w:left="924" w:right="859" w:firstLine="0"/>
        <w:jc w:val="center"/>
        <w:rPr>
          <w:b/>
          <w:color w:val="auto"/>
          <w:sz w:val="28"/>
          <w:highlight w:val="none"/>
        </w:rPr>
      </w:pPr>
      <w:r>
        <w:rPr>
          <w:b/>
          <w:color w:val="auto"/>
          <w:sz w:val="28"/>
          <w:highlight w:val="none"/>
        </w:rPr>
        <w:t>项目编号：</w:t>
      </w:r>
      <w:r>
        <w:rPr>
          <w:rFonts w:hint="eastAsia"/>
          <w:b/>
          <w:color w:val="auto"/>
          <w:sz w:val="28"/>
          <w:highlight w:val="none"/>
        </w:rPr>
        <w:t>HLZFCG-202105-001</w:t>
      </w:r>
    </w:p>
    <w:p>
      <w:pPr>
        <w:pStyle w:val="7"/>
        <w:ind w:left="0"/>
        <w:rPr>
          <w:b/>
          <w:color w:val="auto"/>
          <w:sz w:val="28"/>
          <w:highlight w:val="none"/>
        </w:rPr>
      </w:pPr>
    </w:p>
    <w:p>
      <w:pPr>
        <w:pStyle w:val="7"/>
        <w:ind w:left="0"/>
        <w:rPr>
          <w:b/>
          <w:color w:val="auto"/>
          <w:sz w:val="28"/>
          <w:highlight w:val="none"/>
        </w:rPr>
      </w:pPr>
    </w:p>
    <w:p>
      <w:pPr>
        <w:pStyle w:val="7"/>
        <w:ind w:left="0"/>
        <w:rPr>
          <w:b/>
          <w:color w:val="auto"/>
          <w:sz w:val="28"/>
          <w:highlight w:val="none"/>
        </w:rPr>
      </w:pPr>
    </w:p>
    <w:p>
      <w:pPr>
        <w:pStyle w:val="7"/>
        <w:ind w:left="0"/>
        <w:rPr>
          <w:b/>
          <w:color w:val="auto"/>
          <w:sz w:val="28"/>
          <w:highlight w:val="none"/>
        </w:rPr>
      </w:pPr>
    </w:p>
    <w:p>
      <w:pPr>
        <w:pStyle w:val="7"/>
        <w:ind w:left="0"/>
        <w:rPr>
          <w:b/>
          <w:color w:val="auto"/>
          <w:sz w:val="28"/>
          <w:highlight w:val="none"/>
        </w:rPr>
      </w:pPr>
    </w:p>
    <w:p>
      <w:pPr>
        <w:pStyle w:val="7"/>
        <w:ind w:left="0"/>
        <w:rPr>
          <w:rFonts w:hint="eastAsia" w:eastAsia="楷体"/>
          <w:b/>
          <w:color w:val="auto"/>
          <w:sz w:val="28"/>
          <w:highlight w:val="none"/>
          <w:lang w:val="en-US" w:eastAsia="zh-CN"/>
        </w:rPr>
      </w:pPr>
      <w:r>
        <w:rPr>
          <w:rFonts w:hint="eastAsia"/>
          <w:b/>
          <w:color w:val="auto"/>
          <w:sz w:val="28"/>
          <w:highlight w:val="none"/>
          <w:lang w:val="en-US" w:eastAsia="zh-CN"/>
        </w:rPr>
        <w:t xml:space="preserve"> </w:t>
      </w:r>
    </w:p>
    <w:p>
      <w:pPr>
        <w:pStyle w:val="7"/>
        <w:ind w:left="0"/>
        <w:rPr>
          <w:b/>
          <w:color w:val="auto"/>
          <w:sz w:val="28"/>
          <w:highlight w:val="none"/>
        </w:rPr>
      </w:pPr>
    </w:p>
    <w:p>
      <w:pPr>
        <w:pStyle w:val="7"/>
        <w:ind w:left="0"/>
        <w:rPr>
          <w:b/>
          <w:color w:val="auto"/>
          <w:sz w:val="28"/>
          <w:highlight w:val="none"/>
        </w:rPr>
      </w:pPr>
    </w:p>
    <w:p>
      <w:pPr>
        <w:pStyle w:val="7"/>
        <w:spacing w:before="11"/>
        <w:ind w:left="0"/>
        <w:rPr>
          <w:b/>
          <w:color w:val="auto"/>
          <w:sz w:val="29"/>
          <w:highlight w:val="none"/>
        </w:rPr>
      </w:pPr>
    </w:p>
    <w:p>
      <w:pPr>
        <w:pStyle w:val="3"/>
        <w:tabs>
          <w:tab w:val="left" w:pos="8589"/>
        </w:tabs>
        <w:spacing w:before="0"/>
        <w:ind w:left="2160"/>
        <w:jc w:val="left"/>
        <w:rPr>
          <w:color w:val="auto"/>
          <w:highlight w:val="none"/>
        </w:rPr>
      </w:pPr>
      <w:r>
        <w:rPr>
          <w:color w:val="auto"/>
          <w:highlight w:val="none"/>
        </w:rPr>
        <w:t>供 应 商：</w:t>
      </w:r>
      <w:r>
        <w:rPr>
          <w:color w:val="auto"/>
          <w:highlight w:val="none"/>
          <w:u w:val="single"/>
        </w:rPr>
        <w:t xml:space="preserve"> </w:t>
      </w:r>
      <w:r>
        <w:rPr>
          <w:color w:val="auto"/>
          <w:highlight w:val="none"/>
          <w:u w:val="single"/>
        </w:rPr>
        <w:tab/>
      </w:r>
    </w:p>
    <w:p>
      <w:pPr>
        <w:pStyle w:val="7"/>
        <w:spacing w:before="8"/>
        <w:ind w:left="0"/>
        <w:rPr>
          <w:b/>
          <w:color w:val="auto"/>
          <w:sz w:val="25"/>
          <w:highlight w:val="none"/>
        </w:rPr>
      </w:pPr>
    </w:p>
    <w:p>
      <w:pPr>
        <w:tabs>
          <w:tab w:val="left" w:pos="8589"/>
        </w:tabs>
        <w:spacing w:before="64"/>
        <w:ind w:left="2160" w:right="0" w:firstLine="0"/>
        <w:jc w:val="left"/>
        <w:rPr>
          <w:b/>
          <w:color w:val="auto"/>
          <w:sz w:val="32"/>
          <w:highlight w:val="none"/>
        </w:rPr>
      </w:pPr>
      <w:r>
        <w:rPr>
          <w:b/>
          <w:color w:val="auto"/>
          <w:sz w:val="32"/>
          <w:highlight w:val="none"/>
        </w:rPr>
        <w:t>法人或委托人（签章</w:t>
      </w:r>
      <w:r>
        <w:rPr>
          <w:b/>
          <w:color w:val="auto"/>
          <w:spacing w:val="3"/>
          <w:sz w:val="32"/>
          <w:highlight w:val="none"/>
        </w:rPr>
        <w:t>）：</w:t>
      </w:r>
      <w:r>
        <w:rPr>
          <w:b/>
          <w:color w:val="auto"/>
          <w:spacing w:val="3"/>
          <w:sz w:val="32"/>
          <w:highlight w:val="none"/>
          <w:u w:val="single"/>
        </w:rPr>
        <w:t xml:space="preserve"> </w:t>
      </w:r>
      <w:r>
        <w:rPr>
          <w:b/>
          <w:color w:val="auto"/>
          <w:spacing w:val="3"/>
          <w:sz w:val="32"/>
          <w:highlight w:val="none"/>
          <w:u w:val="single"/>
        </w:rPr>
        <w:tab/>
      </w:r>
    </w:p>
    <w:p>
      <w:pPr>
        <w:pStyle w:val="7"/>
        <w:spacing w:before="4"/>
        <w:ind w:left="0"/>
        <w:rPr>
          <w:b/>
          <w:color w:val="auto"/>
          <w:sz w:val="25"/>
          <w:highlight w:val="none"/>
        </w:rPr>
      </w:pPr>
    </w:p>
    <w:p>
      <w:pPr>
        <w:tabs>
          <w:tab w:val="left" w:pos="3125"/>
          <w:tab w:val="left" w:pos="8589"/>
        </w:tabs>
        <w:spacing w:before="65"/>
        <w:ind w:left="2160" w:right="0" w:firstLine="0"/>
        <w:jc w:val="left"/>
        <w:rPr>
          <w:b/>
          <w:color w:val="auto"/>
          <w:sz w:val="32"/>
          <w:highlight w:val="none"/>
        </w:rPr>
      </w:pPr>
      <w:r>
        <w:rPr>
          <w:b/>
          <w:color w:val="auto"/>
          <w:sz w:val="32"/>
          <w:highlight w:val="none"/>
        </w:rPr>
        <w:t>地</w:t>
      </w:r>
      <w:r>
        <w:rPr>
          <w:b/>
          <w:color w:val="auto"/>
          <w:sz w:val="32"/>
          <w:highlight w:val="none"/>
        </w:rPr>
        <w:tab/>
      </w:r>
      <w:r>
        <w:rPr>
          <w:b/>
          <w:color w:val="auto"/>
          <w:sz w:val="32"/>
          <w:highlight w:val="none"/>
        </w:rPr>
        <w:t>址：</w:t>
      </w:r>
      <w:r>
        <w:rPr>
          <w:b/>
          <w:color w:val="auto"/>
          <w:sz w:val="32"/>
          <w:highlight w:val="none"/>
          <w:u w:val="single"/>
        </w:rPr>
        <w:t xml:space="preserve"> </w:t>
      </w:r>
      <w:r>
        <w:rPr>
          <w:b/>
          <w:color w:val="auto"/>
          <w:sz w:val="32"/>
          <w:highlight w:val="none"/>
          <w:u w:val="single"/>
        </w:rPr>
        <w:tab/>
      </w:r>
    </w:p>
    <w:p>
      <w:pPr>
        <w:pStyle w:val="7"/>
        <w:spacing w:before="2"/>
        <w:ind w:left="0"/>
        <w:rPr>
          <w:b/>
          <w:color w:val="auto"/>
          <w:sz w:val="26"/>
          <w:highlight w:val="none"/>
        </w:rPr>
      </w:pPr>
    </w:p>
    <w:p>
      <w:pPr>
        <w:tabs>
          <w:tab w:val="left" w:pos="3125"/>
          <w:tab w:val="left" w:pos="8589"/>
        </w:tabs>
        <w:spacing w:before="54"/>
        <w:ind w:left="2160" w:right="0" w:firstLine="0"/>
        <w:jc w:val="left"/>
        <w:rPr>
          <w:color w:val="auto"/>
          <w:sz w:val="32"/>
          <w:highlight w:val="none"/>
        </w:rPr>
        <w:sectPr>
          <w:pgSz w:w="11910" w:h="16840"/>
          <w:pgMar w:top="1060" w:right="900" w:bottom="1120" w:left="900" w:header="0" w:footer="928" w:gutter="0"/>
        </w:sectPr>
      </w:pPr>
      <w:r>
        <w:rPr>
          <w:b/>
          <w:color w:val="auto"/>
          <w:sz w:val="32"/>
          <w:highlight w:val="none"/>
        </w:rPr>
        <w:t>时</w:t>
      </w:r>
      <w:r>
        <w:rPr>
          <w:b/>
          <w:color w:val="auto"/>
          <w:sz w:val="32"/>
          <w:highlight w:val="none"/>
        </w:rPr>
        <w:tab/>
      </w:r>
      <w:r>
        <w:rPr>
          <w:b/>
          <w:color w:val="auto"/>
          <w:sz w:val="32"/>
          <w:highlight w:val="none"/>
        </w:rPr>
        <w:t>间：</w:t>
      </w:r>
      <w:r>
        <w:rPr>
          <w:b/>
          <w:color w:val="auto"/>
          <w:sz w:val="32"/>
          <w:highlight w:val="none"/>
          <w:u w:val="single"/>
        </w:rPr>
        <w:t xml:space="preserve"> </w:t>
      </w:r>
      <w:r>
        <w:rPr>
          <w:b/>
          <w:color w:val="auto"/>
          <w:sz w:val="32"/>
          <w:highlight w:val="none"/>
          <w:u w:val="single"/>
        </w:rPr>
        <w:tab/>
      </w:r>
    </w:p>
    <w:p>
      <w:pPr>
        <w:tabs>
          <w:tab w:val="left" w:pos="1207"/>
        </w:tabs>
        <w:spacing w:before="17"/>
        <w:ind w:left="0" w:right="0" w:firstLine="0"/>
        <w:jc w:val="center"/>
        <w:rPr>
          <w:b/>
          <w:color w:val="auto"/>
          <w:sz w:val="48"/>
          <w:highlight w:val="none"/>
        </w:rPr>
      </w:pPr>
      <w:r>
        <w:rPr>
          <w:b/>
          <w:color w:val="auto"/>
          <w:sz w:val="48"/>
          <w:highlight w:val="none"/>
        </w:rPr>
        <w:t>目</w:t>
      </w:r>
      <w:r>
        <w:rPr>
          <w:b/>
          <w:color w:val="auto"/>
          <w:sz w:val="48"/>
          <w:highlight w:val="none"/>
        </w:rPr>
        <w:tab/>
      </w:r>
      <w:r>
        <w:rPr>
          <w:b/>
          <w:color w:val="auto"/>
          <w:sz w:val="48"/>
          <w:highlight w:val="none"/>
        </w:rPr>
        <w:t>录</w:t>
      </w:r>
    </w:p>
    <w:p>
      <w:pPr>
        <w:pStyle w:val="7"/>
        <w:spacing w:before="3"/>
        <w:ind w:left="0"/>
        <w:rPr>
          <w:b/>
          <w:color w:val="auto"/>
          <w:sz w:val="12"/>
          <w:highlight w:val="none"/>
        </w:rPr>
      </w:pPr>
    </w:p>
    <w:p>
      <w:pPr>
        <w:pStyle w:val="5"/>
        <w:spacing w:before="62"/>
        <w:rPr>
          <w:color w:val="auto"/>
          <w:highlight w:val="none"/>
        </w:rPr>
      </w:pPr>
      <w:r>
        <w:rPr>
          <w:color w:val="auto"/>
          <w:highlight w:val="none"/>
        </w:rPr>
        <w:t>一、响应函</w:t>
      </w:r>
    </w:p>
    <w:p>
      <w:pPr>
        <w:pStyle w:val="7"/>
        <w:spacing w:before="11"/>
        <w:ind w:left="0"/>
        <w:rPr>
          <w:color w:val="auto"/>
          <w:sz w:val="32"/>
          <w:highlight w:val="none"/>
        </w:rPr>
      </w:pPr>
    </w:p>
    <w:p>
      <w:pPr>
        <w:spacing w:before="0" w:line="520" w:lineRule="auto"/>
        <w:ind w:left="792" w:right="5949" w:firstLine="0"/>
        <w:jc w:val="left"/>
        <w:rPr>
          <w:color w:val="auto"/>
          <w:sz w:val="28"/>
          <w:highlight w:val="none"/>
        </w:rPr>
      </w:pPr>
      <w:r>
        <w:rPr>
          <w:color w:val="auto"/>
          <w:sz w:val="28"/>
          <w:highlight w:val="none"/>
        </w:rPr>
        <w:t>二、法定代表人授权委托书三、报价一览表</w:t>
      </w:r>
    </w:p>
    <w:p>
      <w:pPr>
        <w:spacing w:before="3" w:line="520" w:lineRule="auto"/>
        <w:ind w:left="792" w:right="5930" w:rightChars="0" w:firstLine="0"/>
        <w:jc w:val="left"/>
        <w:rPr>
          <w:color w:val="auto"/>
          <w:sz w:val="28"/>
          <w:highlight w:val="none"/>
        </w:rPr>
      </w:pPr>
      <w:r>
        <w:rPr>
          <w:color w:val="auto"/>
          <w:sz w:val="28"/>
          <w:highlight w:val="none"/>
        </w:rPr>
        <w:t>四、已标价工程量清单</w:t>
      </w:r>
    </w:p>
    <w:p>
      <w:pPr>
        <w:spacing w:before="3" w:line="520" w:lineRule="auto"/>
        <w:ind w:left="792" w:right="5930" w:rightChars="0" w:firstLine="0"/>
        <w:jc w:val="left"/>
        <w:rPr>
          <w:color w:val="auto"/>
          <w:sz w:val="28"/>
          <w:highlight w:val="none"/>
        </w:rPr>
      </w:pPr>
      <w:r>
        <w:rPr>
          <w:color w:val="auto"/>
          <w:sz w:val="28"/>
          <w:highlight w:val="none"/>
        </w:rPr>
        <w:t>五、</w:t>
      </w:r>
      <w:r>
        <w:rPr>
          <w:rFonts w:hint="eastAsia"/>
          <w:color w:val="auto"/>
          <w:sz w:val="28"/>
          <w:highlight w:val="none"/>
          <w:lang w:eastAsia="zh-CN"/>
        </w:rPr>
        <w:t>投标单位</w:t>
      </w:r>
      <w:r>
        <w:rPr>
          <w:color w:val="auto"/>
          <w:sz w:val="28"/>
          <w:highlight w:val="none"/>
        </w:rPr>
        <w:t>资格证明文件</w:t>
      </w:r>
    </w:p>
    <w:p>
      <w:pPr>
        <w:spacing w:before="4" w:line="520" w:lineRule="auto"/>
        <w:ind w:left="792" w:right="6792" w:firstLine="0"/>
        <w:jc w:val="left"/>
        <w:rPr>
          <w:color w:val="auto"/>
          <w:sz w:val="28"/>
          <w:highlight w:val="none"/>
        </w:rPr>
      </w:pPr>
      <w:r>
        <w:rPr>
          <w:color w:val="auto"/>
          <w:sz w:val="28"/>
          <w:highlight w:val="none"/>
        </w:rPr>
        <w:t>六、商务响应偏离表七、投标方案</w:t>
      </w:r>
    </w:p>
    <w:p>
      <w:pPr>
        <w:spacing w:before="3"/>
        <w:ind w:left="792" w:right="0" w:firstLine="0"/>
        <w:jc w:val="left"/>
        <w:rPr>
          <w:color w:val="auto"/>
          <w:sz w:val="28"/>
          <w:highlight w:val="none"/>
        </w:rPr>
      </w:pPr>
      <w:r>
        <w:rPr>
          <w:color w:val="auto"/>
          <w:sz w:val="28"/>
          <w:highlight w:val="none"/>
        </w:rPr>
        <w:t>八、供应商业绩</w:t>
      </w:r>
    </w:p>
    <w:p>
      <w:pPr>
        <w:pStyle w:val="7"/>
        <w:spacing w:before="11"/>
        <w:ind w:left="0"/>
        <w:rPr>
          <w:color w:val="auto"/>
          <w:sz w:val="32"/>
          <w:highlight w:val="none"/>
        </w:rPr>
      </w:pPr>
    </w:p>
    <w:p>
      <w:pPr>
        <w:spacing w:before="0"/>
        <w:ind w:left="792" w:right="0" w:firstLine="0"/>
        <w:jc w:val="left"/>
        <w:rPr>
          <w:color w:val="auto"/>
          <w:sz w:val="28"/>
          <w:highlight w:val="none"/>
        </w:rPr>
      </w:pPr>
      <w:r>
        <w:rPr>
          <w:color w:val="auto"/>
          <w:sz w:val="28"/>
          <w:highlight w:val="none"/>
        </w:rPr>
        <w:t>九、投标单位拒绝政府采购领域商业贿赂承诺书</w:t>
      </w:r>
    </w:p>
    <w:p>
      <w:pPr>
        <w:spacing w:after="0"/>
        <w:jc w:val="left"/>
        <w:rPr>
          <w:color w:val="auto"/>
          <w:sz w:val="28"/>
          <w:highlight w:val="none"/>
        </w:rPr>
        <w:sectPr>
          <w:pgSz w:w="11910" w:h="16840"/>
          <w:pgMar w:top="1100" w:right="900" w:bottom="1200" w:left="900" w:header="0" w:footer="928" w:gutter="0"/>
        </w:sectPr>
      </w:pPr>
    </w:p>
    <w:p>
      <w:pPr>
        <w:pStyle w:val="7"/>
        <w:ind w:left="0"/>
        <w:rPr>
          <w:color w:val="auto"/>
          <w:highlight w:val="none"/>
        </w:rPr>
      </w:pPr>
    </w:p>
    <w:p>
      <w:pPr>
        <w:pStyle w:val="7"/>
        <w:spacing w:before="3"/>
        <w:ind w:left="0"/>
        <w:rPr>
          <w:color w:val="auto"/>
          <w:sz w:val="19"/>
          <w:highlight w:val="none"/>
        </w:rPr>
      </w:pPr>
    </w:p>
    <w:p>
      <w:pPr>
        <w:pStyle w:val="7"/>
        <w:spacing w:before="93" w:line="312" w:lineRule="auto"/>
        <w:ind w:right="-6286" w:rightChars="0" w:firstLine="437"/>
        <w:jc w:val="both"/>
        <w:rPr>
          <w:color w:val="auto"/>
          <w:highlight w:val="none"/>
        </w:rPr>
      </w:pPr>
      <w:r>
        <w:rPr>
          <w:rFonts w:hint="eastAsia"/>
          <w:color w:val="auto"/>
          <w:highlight w:val="none"/>
          <w:lang w:eastAsia="zh-CN"/>
        </w:rPr>
        <w:t>鸿利项目管理有限公司</w:t>
      </w:r>
      <w:r>
        <w:rPr>
          <w:color w:val="auto"/>
          <w:highlight w:val="none"/>
        </w:rPr>
        <w:t>：</w:t>
      </w:r>
    </w:p>
    <w:p>
      <w:pPr>
        <w:spacing w:before="34"/>
        <w:ind w:left="232" w:right="0" w:firstLine="0"/>
        <w:jc w:val="left"/>
        <w:rPr>
          <w:b/>
          <w:color w:val="auto"/>
          <w:sz w:val="32"/>
          <w:highlight w:val="none"/>
        </w:rPr>
      </w:pPr>
      <w:r>
        <w:rPr>
          <w:color w:val="auto"/>
          <w:highlight w:val="none"/>
        </w:rPr>
        <w:br w:type="column"/>
      </w:r>
      <w:r>
        <w:rPr>
          <w:b/>
          <w:color w:val="auto"/>
          <w:sz w:val="32"/>
          <w:highlight w:val="none"/>
        </w:rPr>
        <w:t>一、响应函</w:t>
      </w:r>
    </w:p>
    <w:p>
      <w:pPr>
        <w:spacing w:after="0"/>
        <w:jc w:val="left"/>
        <w:rPr>
          <w:color w:val="auto"/>
          <w:sz w:val="32"/>
          <w:highlight w:val="none"/>
        </w:rPr>
        <w:sectPr>
          <w:pgSz w:w="11910" w:h="16840"/>
          <w:pgMar w:top="1240" w:right="900" w:bottom="1200" w:left="900" w:header="0" w:footer="928" w:gutter="0"/>
          <w:cols w:equalWidth="0" w:num="2">
            <w:col w:w="3394" w:space="622"/>
            <w:col w:w="6094"/>
          </w:cols>
        </w:sectPr>
      </w:pPr>
    </w:p>
    <w:p>
      <w:pPr>
        <w:pStyle w:val="7"/>
        <w:spacing w:before="93" w:line="312" w:lineRule="auto"/>
        <w:ind w:right="228" w:firstLine="437"/>
        <w:jc w:val="both"/>
        <w:rPr>
          <w:color w:val="auto"/>
          <w:highlight w:val="none"/>
        </w:rPr>
      </w:pPr>
      <w:r>
        <w:rPr>
          <w:color w:val="auto"/>
          <w:highlight w:val="none"/>
        </w:rPr>
        <w:t>根据贵方为</w:t>
      </w:r>
      <w:r>
        <w:rPr>
          <w:color w:val="auto"/>
          <w:spacing w:val="21"/>
          <w:highlight w:val="none"/>
          <w:u w:val="single"/>
        </w:rPr>
        <w:t xml:space="preserve"> </w:t>
      </w:r>
      <w:r>
        <w:rPr>
          <w:color w:val="auto"/>
          <w:highlight w:val="none"/>
          <w:u w:val="single"/>
        </w:rPr>
        <w:t>（采购项目名称）</w:t>
      </w:r>
      <w:r>
        <w:rPr>
          <w:color w:val="auto"/>
          <w:spacing w:val="26"/>
          <w:highlight w:val="none"/>
          <w:u w:val="single"/>
        </w:rPr>
        <w:t xml:space="preserve"> </w:t>
      </w:r>
      <w:r>
        <w:rPr>
          <w:color w:val="auto"/>
          <w:highlight w:val="none"/>
        </w:rPr>
        <w:t>招标采购工程及服务的磋商邀请函</w:t>
      </w:r>
      <w:r>
        <w:rPr>
          <w:color w:val="auto"/>
          <w:spacing w:val="10"/>
          <w:highlight w:val="none"/>
          <w:u w:val="single"/>
        </w:rPr>
        <w:t xml:space="preserve"> </w:t>
      </w:r>
      <w:r>
        <w:rPr>
          <w:color w:val="auto"/>
          <w:highlight w:val="none"/>
          <w:u w:val="single"/>
        </w:rPr>
        <w:t>（项目编号）</w:t>
      </w:r>
      <w:r>
        <w:rPr>
          <w:color w:val="auto"/>
          <w:spacing w:val="14"/>
          <w:highlight w:val="none"/>
          <w:u w:val="single"/>
        </w:rPr>
        <w:t xml:space="preserve"> </w:t>
      </w:r>
      <w:r>
        <w:rPr>
          <w:color w:val="auto"/>
          <w:highlight w:val="none"/>
        </w:rPr>
        <w:t>， 签字代表</w:t>
      </w:r>
      <w:r>
        <w:rPr>
          <w:color w:val="auto"/>
          <w:spacing w:val="3"/>
          <w:highlight w:val="none"/>
          <w:u w:val="single"/>
        </w:rPr>
        <w:t xml:space="preserve"> </w:t>
      </w:r>
      <w:r>
        <w:rPr>
          <w:color w:val="auto"/>
          <w:highlight w:val="none"/>
          <w:u w:val="single"/>
        </w:rPr>
        <w:t>（姓名、职务）</w:t>
      </w:r>
      <w:r>
        <w:rPr>
          <w:color w:val="auto"/>
          <w:spacing w:val="6"/>
          <w:highlight w:val="none"/>
          <w:u w:val="single"/>
        </w:rPr>
        <w:t xml:space="preserve"> </w:t>
      </w:r>
      <w:r>
        <w:rPr>
          <w:color w:val="auto"/>
          <w:highlight w:val="none"/>
        </w:rPr>
        <w:t>经正式授权并代表投标单位</w:t>
      </w:r>
      <w:r>
        <w:rPr>
          <w:color w:val="auto"/>
          <w:spacing w:val="5"/>
          <w:highlight w:val="none"/>
          <w:u w:val="single"/>
        </w:rPr>
        <w:t xml:space="preserve">  </w:t>
      </w:r>
      <w:r>
        <w:rPr>
          <w:color w:val="auto"/>
          <w:highlight w:val="none"/>
          <w:u w:val="single"/>
        </w:rPr>
        <w:t>（投标单位名称、地址）</w:t>
      </w:r>
      <w:r>
        <w:rPr>
          <w:color w:val="auto"/>
          <w:spacing w:val="5"/>
          <w:highlight w:val="none"/>
          <w:u w:val="single"/>
        </w:rPr>
        <w:t xml:space="preserve">   </w:t>
      </w:r>
      <w:r>
        <w:rPr>
          <w:color w:val="auto"/>
          <w:highlight w:val="none"/>
        </w:rPr>
        <w:t>，提交响应文件正本一份、副本</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份。</w:t>
      </w:r>
    </w:p>
    <w:p>
      <w:pPr>
        <w:pStyle w:val="6"/>
        <w:ind w:left="715"/>
        <w:rPr>
          <w:color w:val="auto"/>
          <w:highlight w:val="none"/>
        </w:rPr>
      </w:pPr>
      <w:r>
        <w:rPr>
          <w:color w:val="auto"/>
          <w:highlight w:val="none"/>
        </w:rPr>
        <w:t>在此，签字代表宣布同意如下：</w:t>
      </w:r>
    </w:p>
    <w:p>
      <w:pPr>
        <w:pStyle w:val="25"/>
        <w:numPr>
          <w:ilvl w:val="2"/>
          <w:numId w:val="33"/>
        </w:numPr>
        <w:tabs>
          <w:tab w:val="left" w:pos="1075"/>
          <w:tab w:val="left" w:pos="7033"/>
        </w:tabs>
        <w:spacing w:before="93" w:after="0" w:line="312" w:lineRule="auto"/>
        <w:ind w:left="232" w:right="231" w:firstLine="480"/>
        <w:jc w:val="left"/>
        <w:rPr>
          <w:color w:val="auto"/>
          <w:sz w:val="24"/>
          <w:highlight w:val="none"/>
        </w:rPr>
      </w:pPr>
      <w:r>
        <w:rPr>
          <w:color w:val="auto"/>
          <w:sz w:val="24"/>
          <w:highlight w:val="none"/>
        </w:rPr>
        <w:t>所附报价表中规定的应提交和交付的工程总报价为</w:t>
      </w:r>
      <w:r>
        <w:rPr>
          <w:color w:val="auto"/>
          <w:sz w:val="24"/>
          <w:highlight w:val="none"/>
          <w:u w:val="single"/>
        </w:rPr>
        <w:t xml:space="preserve"> </w:t>
      </w:r>
      <w:r>
        <w:rPr>
          <w:color w:val="auto"/>
          <w:sz w:val="24"/>
          <w:highlight w:val="none"/>
          <w:u w:val="single"/>
        </w:rPr>
        <w:tab/>
      </w:r>
      <w:r>
        <w:rPr>
          <w:color w:val="auto"/>
          <w:sz w:val="24"/>
          <w:highlight w:val="none"/>
          <w:u w:val="single"/>
        </w:rPr>
        <w:t>人民币金额</w:t>
      </w:r>
      <w:r>
        <w:rPr>
          <w:color w:val="auto"/>
          <w:spacing w:val="-41"/>
          <w:sz w:val="24"/>
          <w:highlight w:val="none"/>
          <w:u w:val="single"/>
        </w:rPr>
        <w:t>数</w:t>
      </w:r>
      <w:r>
        <w:rPr>
          <w:color w:val="auto"/>
          <w:sz w:val="24"/>
          <w:highlight w:val="none"/>
          <w:u w:val="single"/>
        </w:rPr>
        <w:t>（同时用汉</w:t>
      </w:r>
      <w:r>
        <w:rPr>
          <w:color w:val="auto"/>
          <w:spacing w:val="-17"/>
          <w:sz w:val="24"/>
          <w:highlight w:val="none"/>
          <w:u w:val="single"/>
        </w:rPr>
        <w:t>字</w:t>
      </w:r>
      <w:r>
        <w:rPr>
          <w:color w:val="auto"/>
          <w:spacing w:val="-220"/>
          <w:sz w:val="24"/>
          <w:highlight w:val="none"/>
          <w:u w:val="single"/>
        </w:rPr>
        <w:t>大</w:t>
      </w:r>
      <w:r>
        <w:rPr>
          <w:color w:val="auto"/>
          <w:sz w:val="24"/>
          <w:highlight w:val="none"/>
          <w:u w:val="single"/>
        </w:rPr>
        <w:t>写和数字表示的总报价）</w:t>
      </w:r>
      <w:r>
        <w:rPr>
          <w:color w:val="auto"/>
          <w:spacing w:val="1"/>
          <w:sz w:val="24"/>
          <w:highlight w:val="none"/>
        </w:rPr>
        <w:t xml:space="preserve"> </w:t>
      </w:r>
      <w:r>
        <w:rPr>
          <w:color w:val="auto"/>
          <w:sz w:val="24"/>
          <w:highlight w:val="none"/>
        </w:rPr>
        <w:t>。</w:t>
      </w:r>
    </w:p>
    <w:p>
      <w:pPr>
        <w:pStyle w:val="25"/>
        <w:numPr>
          <w:ilvl w:val="2"/>
          <w:numId w:val="33"/>
        </w:numPr>
        <w:tabs>
          <w:tab w:val="left" w:pos="1075"/>
        </w:tabs>
        <w:spacing w:before="0" w:after="0" w:line="307" w:lineRule="exact"/>
        <w:ind w:left="1074" w:right="0" w:hanging="362"/>
        <w:jc w:val="left"/>
        <w:rPr>
          <w:color w:val="auto"/>
          <w:sz w:val="24"/>
          <w:highlight w:val="none"/>
        </w:rPr>
      </w:pPr>
      <w:r>
        <w:rPr>
          <w:color w:val="auto"/>
          <w:sz w:val="24"/>
          <w:highlight w:val="none"/>
        </w:rPr>
        <w:t>我们将按磋商文件的规定履行合同责任和义务。</w:t>
      </w:r>
    </w:p>
    <w:p>
      <w:pPr>
        <w:pStyle w:val="25"/>
        <w:numPr>
          <w:ilvl w:val="2"/>
          <w:numId w:val="33"/>
        </w:numPr>
        <w:tabs>
          <w:tab w:val="left" w:pos="1075"/>
        </w:tabs>
        <w:spacing w:before="93" w:after="0" w:line="240" w:lineRule="auto"/>
        <w:ind w:left="1074" w:right="0" w:hanging="362"/>
        <w:jc w:val="left"/>
        <w:rPr>
          <w:color w:val="auto"/>
          <w:sz w:val="24"/>
          <w:highlight w:val="none"/>
        </w:rPr>
      </w:pPr>
      <w:r>
        <w:rPr>
          <w:color w:val="auto"/>
          <w:spacing w:val="-3"/>
          <w:sz w:val="24"/>
          <w:highlight w:val="none"/>
        </w:rPr>
        <w:t>我们已详细审查全部磋商文件。我们完全理解并同意放弃对这方面有不明及误解的权</w:t>
      </w:r>
    </w:p>
    <w:p>
      <w:pPr>
        <w:pStyle w:val="7"/>
        <w:spacing w:before="91"/>
        <w:rPr>
          <w:color w:val="auto"/>
          <w:highlight w:val="none"/>
        </w:rPr>
      </w:pPr>
      <w:r>
        <w:rPr>
          <w:color w:val="auto"/>
          <w:highlight w:val="none"/>
        </w:rPr>
        <w:t>力。</w:t>
      </w:r>
    </w:p>
    <w:p>
      <w:pPr>
        <w:pStyle w:val="25"/>
        <w:numPr>
          <w:ilvl w:val="2"/>
          <w:numId w:val="33"/>
        </w:numPr>
        <w:tabs>
          <w:tab w:val="left" w:pos="1075"/>
          <w:tab w:val="left" w:pos="4872"/>
        </w:tabs>
        <w:spacing w:before="94" w:after="0" w:line="240" w:lineRule="auto"/>
        <w:ind w:left="1074" w:right="0" w:hanging="362"/>
        <w:jc w:val="left"/>
        <w:rPr>
          <w:color w:val="auto"/>
          <w:sz w:val="24"/>
          <w:highlight w:val="none"/>
        </w:rPr>
      </w:pPr>
      <w:r>
        <w:rPr>
          <w:color w:val="auto"/>
          <w:sz w:val="24"/>
          <w:highlight w:val="none"/>
        </w:rPr>
        <w:t>本磋商有效期为自磋商之日起</w:t>
      </w:r>
      <w:r>
        <w:rPr>
          <w:color w:val="auto"/>
          <w:sz w:val="24"/>
          <w:highlight w:val="none"/>
          <w:u w:val="single"/>
        </w:rPr>
        <w:t xml:space="preserve"> </w:t>
      </w:r>
      <w:r>
        <w:rPr>
          <w:color w:val="auto"/>
          <w:sz w:val="24"/>
          <w:highlight w:val="none"/>
          <w:u w:val="single"/>
        </w:rPr>
        <w:tab/>
      </w:r>
      <w:r>
        <w:rPr>
          <w:color w:val="auto"/>
          <w:sz w:val="24"/>
          <w:highlight w:val="none"/>
        </w:rPr>
        <w:t>个日历</w:t>
      </w:r>
      <w:r>
        <w:rPr>
          <w:color w:val="auto"/>
          <w:spacing w:val="-41"/>
          <w:sz w:val="24"/>
          <w:highlight w:val="none"/>
        </w:rPr>
        <w:t>日</w:t>
      </w:r>
      <w:r>
        <w:rPr>
          <w:color w:val="auto"/>
          <w:sz w:val="24"/>
          <w:highlight w:val="none"/>
        </w:rPr>
        <w:t>（成交投标单位的响应文件有效期延长</w:t>
      </w:r>
    </w:p>
    <w:p>
      <w:pPr>
        <w:pStyle w:val="7"/>
        <w:spacing w:before="94"/>
        <w:rPr>
          <w:color w:val="auto"/>
          <w:highlight w:val="none"/>
        </w:rPr>
      </w:pPr>
      <w:r>
        <w:rPr>
          <w:color w:val="auto"/>
          <w:highlight w:val="none"/>
        </w:rPr>
        <w:t>为与合同有效期一致）。</w:t>
      </w:r>
    </w:p>
    <w:p>
      <w:pPr>
        <w:pStyle w:val="25"/>
        <w:numPr>
          <w:ilvl w:val="2"/>
          <w:numId w:val="33"/>
        </w:numPr>
        <w:tabs>
          <w:tab w:val="left" w:pos="1083"/>
        </w:tabs>
        <w:spacing w:before="90" w:after="0" w:line="240" w:lineRule="auto"/>
        <w:ind w:left="1082" w:right="0" w:hanging="370"/>
        <w:jc w:val="left"/>
        <w:rPr>
          <w:color w:val="auto"/>
          <w:sz w:val="24"/>
          <w:highlight w:val="none"/>
        </w:rPr>
      </w:pPr>
      <w:r>
        <w:rPr>
          <w:color w:val="auto"/>
          <w:sz w:val="24"/>
          <w:highlight w:val="none"/>
        </w:rPr>
        <w:t>我们完全理解并同意贵方在磋商文件中的有关不予退还磋商保证金和拒绝磋商的条</w:t>
      </w:r>
    </w:p>
    <w:p>
      <w:pPr>
        <w:pStyle w:val="7"/>
        <w:spacing w:before="94"/>
        <w:rPr>
          <w:color w:val="auto"/>
          <w:highlight w:val="none"/>
        </w:rPr>
      </w:pPr>
      <w:r>
        <w:rPr>
          <w:color w:val="auto"/>
          <w:highlight w:val="none"/>
        </w:rPr>
        <w:t>款。</w:t>
      </w:r>
    </w:p>
    <w:p>
      <w:pPr>
        <w:pStyle w:val="25"/>
        <w:numPr>
          <w:ilvl w:val="2"/>
          <w:numId w:val="33"/>
        </w:numPr>
        <w:tabs>
          <w:tab w:val="left" w:pos="1075"/>
        </w:tabs>
        <w:spacing w:before="93" w:after="0" w:line="240" w:lineRule="auto"/>
        <w:ind w:left="1074" w:right="0" w:hanging="362"/>
        <w:jc w:val="left"/>
        <w:rPr>
          <w:color w:val="auto"/>
          <w:sz w:val="24"/>
          <w:highlight w:val="none"/>
        </w:rPr>
      </w:pPr>
      <w:r>
        <w:rPr>
          <w:color w:val="auto"/>
          <w:spacing w:val="-2"/>
          <w:sz w:val="24"/>
          <w:highlight w:val="none"/>
        </w:rPr>
        <w:t>我们同意提供按照贵方可能要求的与其磋商有关的一切数据或资料，完全理解贵方不</w:t>
      </w:r>
    </w:p>
    <w:p>
      <w:pPr>
        <w:pStyle w:val="7"/>
        <w:spacing w:before="91" w:line="312" w:lineRule="auto"/>
        <w:ind w:left="713" w:right="2310" w:hanging="481"/>
        <w:rPr>
          <w:color w:val="auto"/>
          <w:highlight w:val="none"/>
        </w:rPr>
      </w:pPr>
      <w:r>
        <w:rPr>
          <w:color w:val="auto"/>
          <w:highlight w:val="none"/>
        </w:rPr>
        <w:t>一定接受最低磋商报价的响应文件或收到的任何响应文件。         7．</w:t>
      </w:r>
      <w:r>
        <w:rPr>
          <w:color w:val="auto"/>
          <w:spacing w:val="-1"/>
          <w:highlight w:val="none"/>
        </w:rPr>
        <w:t>若我方获得成交，我方保证按有关规定向贵方支付中标服务费。</w:t>
      </w:r>
    </w:p>
    <w:p>
      <w:pPr>
        <w:pStyle w:val="7"/>
        <w:spacing w:before="2"/>
        <w:ind w:left="713"/>
        <w:rPr>
          <w:color w:val="auto"/>
          <w:highlight w:val="none"/>
        </w:rPr>
      </w:pPr>
      <w:r>
        <w:rPr>
          <w:color w:val="auto"/>
          <w:highlight w:val="none"/>
        </w:rPr>
        <w:t>8．与本磋商有关的一切正式往来信函请寄：</w:t>
      </w:r>
    </w:p>
    <w:p>
      <w:pPr>
        <w:pStyle w:val="7"/>
        <w:tabs>
          <w:tab w:val="left" w:pos="7129"/>
        </w:tabs>
        <w:spacing w:before="91"/>
        <w:ind w:left="713"/>
        <w:rPr>
          <w:rFonts w:ascii="Times New Roman" w:eastAsia="Times New Roman"/>
          <w:color w:val="auto"/>
          <w:highlight w:val="none"/>
        </w:rPr>
      </w:pPr>
      <w:r>
        <w:rPr>
          <w:color w:val="auto"/>
          <w:highlight w:val="none"/>
        </w:rPr>
        <w:t>投标单位名称（公章）：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tabs>
          <w:tab w:val="left" w:pos="1313"/>
          <w:tab w:val="left" w:pos="1913"/>
          <w:tab w:val="left" w:pos="2513"/>
          <w:tab w:val="left" w:pos="6889"/>
          <w:tab w:val="left" w:pos="8689"/>
        </w:tabs>
        <w:spacing w:before="94" w:line="312" w:lineRule="auto"/>
        <w:ind w:left="713" w:right="1414"/>
        <w:rPr>
          <w:rFonts w:ascii="Times New Roman" w:eastAsia="Times New Roman"/>
          <w:color w:val="auto"/>
          <w:highlight w:val="none"/>
        </w:rPr>
      </w:pPr>
      <w:r>
        <w:rPr>
          <w:color w:val="auto"/>
          <w:highlight w:val="none"/>
        </w:rPr>
        <w:t>法定代表人或授权代理人签字：</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详</w:t>
      </w:r>
      <w:r>
        <w:rPr>
          <w:color w:val="auto"/>
          <w:highlight w:val="none"/>
        </w:rPr>
        <w:tab/>
      </w:r>
      <w:r>
        <w:rPr>
          <w:color w:val="auto"/>
          <w:highlight w:val="none"/>
        </w:rPr>
        <w:t>细</w:t>
      </w:r>
      <w:r>
        <w:rPr>
          <w:color w:val="auto"/>
          <w:highlight w:val="none"/>
        </w:rPr>
        <w:tab/>
      </w:r>
      <w:r>
        <w:rPr>
          <w:color w:val="auto"/>
          <w:highlight w:val="none"/>
        </w:rPr>
        <w:t>地</w:t>
      </w:r>
      <w:r>
        <w:rPr>
          <w:color w:val="auto"/>
          <w:highlight w:val="none"/>
        </w:rPr>
        <w:tab/>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tabs>
          <w:tab w:val="left" w:pos="1313"/>
          <w:tab w:val="left" w:pos="1913"/>
          <w:tab w:val="left" w:pos="2513"/>
          <w:tab w:val="left" w:pos="6889"/>
        </w:tabs>
        <w:spacing w:line="312" w:lineRule="auto"/>
        <w:ind w:left="713" w:right="3215"/>
        <w:rPr>
          <w:rFonts w:ascii="Times New Roman" w:eastAsia="Times New Roman"/>
          <w:color w:val="auto"/>
          <w:highlight w:val="none"/>
        </w:rPr>
      </w:pPr>
      <w:r>
        <w:rPr>
          <w:color w:val="auto"/>
          <w:highlight w:val="none"/>
        </w:rPr>
        <w:t>邮</w:t>
      </w:r>
      <w:r>
        <w:rPr>
          <w:color w:val="auto"/>
          <w:highlight w:val="none"/>
        </w:rPr>
        <w:tab/>
      </w:r>
      <w:r>
        <w:rPr>
          <w:color w:val="auto"/>
          <w:highlight w:val="none"/>
        </w:rPr>
        <w:t>政</w:t>
      </w:r>
      <w:r>
        <w:rPr>
          <w:color w:val="auto"/>
          <w:highlight w:val="none"/>
        </w:rPr>
        <w:tab/>
      </w:r>
      <w:r>
        <w:rPr>
          <w:color w:val="auto"/>
          <w:highlight w:val="none"/>
        </w:rPr>
        <w:t>编</w:t>
      </w:r>
      <w:r>
        <w:rPr>
          <w:color w:val="auto"/>
          <w:highlight w:val="none"/>
        </w:rPr>
        <w:tab/>
      </w:r>
      <w:r>
        <w:rPr>
          <w:color w:val="auto"/>
          <w:highlight w:val="none"/>
        </w:rPr>
        <w:t>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电</w:t>
      </w:r>
      <w:r>
        <w:rPr>
          <w:color w:val="auto"/>
          <w:highlight w:val="none"/>
        </w:rPr>
        <w:tab/>
      </w:r>
      <w:r>
        <w:rPr>
          <w:color w:val="auto"/>
          <w:highlight w:val="none"/>
        </w:rPr>
        <w:tab/>
      </w:r>
      <w:r>
        <w:rPr>
          <w:color w:val="auto"/>
          <w:highlight w:val="none"/>
        </w:rPr>
        <w:tab/>
      </w:r>
      <w:r>
        <w:rPr>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tabs>
          <w:tab w:val="left" w:pos="2513"/>
          <w:tab w:val="left" w:pos="6889"/>
        </w:tabs>
        <w:spacing w:before="1" w:line="312" w:lineRule="auto"/>
        <w:ind w:left="713" w:right="3215"/>
        <w:jc w:val="both"/>
        <w:rPr>
          <w:rFonts w:ascii="Times New Roman" w:eastAsia="Times New Roman"/>
          <w:color w:val="auto"/>
          <w:highlight w:val="none"/>
        </w:rPr>
      </w:pPr>
      <w:r>
        <w:rPr>
          <w:color w:val="auto"/>
          <w:highlight w:val="none"/>
        </w:rPr>
        <w:t>传</w:t>
      </w:r>
      <w:r>
        <w:rPr>
          <w:color w:val="auto"/>
          <w:highlight w:val="none"/>
        </w:rPr>
        <w:tab/>
      </w:r>
      <w:r>
        <w:rPr>
          <w:color w:val="auto"/>
          <w:highlight w:val="none"/>
        </w:rPr>
        <w:t>真：</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电 子 邮 件 地</w:t>
      </w:r>
      <w:r>
        <w:rPr>
          <w:color w:val="auto"/>
          <w:spacing w:val="-1"/>
          <w:highlight w:val="none"/>
        </w:rPr>
        <w:t xml:space="preserve"> </w:t>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 xml:space="preserve">开   户   银 </w:t>
      </w:r>
      <w:r>
        <w:rPr>
          <w:color w:val="auto"/>
          <w:spacing w:val="119"/>
          <w:highlight w:val="none"/>
        </w:rPr>
        <w:t xml:space="preserve"> </w:t>
      </w:r>
      <w:r>
        <w:rPr>
          <w:color w:val="auto"/>
          <w:highlight w:val="none"/>
        </w:rPr>
        <w:t>行：</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帐</w:t>
      </w:r>
      <w:r>
        <w:rPr>
          <w:color w:val="auto"/>
          <w:highlight w:val="none"/>
        </w:rPr>
        <w:tab/>
      </w:r>
      <w:r>
        <w:rPr>
          <w:color w:val="auto"/>
          <w:highlight w:val="none"/>
        </w:rPr>
        <w:t>号：</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spacing w:before="1"/>
        <w:ind w:left="0"/>
        <w:rPr>
          <w:rFonts w:ascii="Times New Roman"/>
          <w:color w:val="auto"/>
          <w:sz w:val="29"/>
          <w:highlight w:val="none"/>
        </w:rPr>
      </w:pPr>
    </w:p>
    <w:p>
      <w:pPr>
        <w:pStyle w:val="7"/>
        <w:tabs>
          <w:tab w:val="left" w:pos="720"/>
          <w:tab w:val="left" w:pos="1440"/>
        </w:tabs>
        <w:spacing w:before="67"/>
        <w:ind w:left="0" w:right="711"/>
        <w:jc w:val="right"/>
        <w:rPr>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jc w:val="right"/>
        <w:rPr>
          <w:color w:val="auto"/>
          <w:highlight w:val="none"/>
        </w:rPr>
        <w:sectPr>
          <w:type w:val="continuous"/>
          <w:pgSz w:w="11910" w:h="16840"/>
          <w:pgMar w:top="1580" w:right="900" w:bottom="1120" w:left="900" w:header="720" w:footer="720" w:gutter="0"/>
        </w:sectPr>
      </w:pPr>
    </w:p>
    <w:p>
      <w:pPr>
        <w:pStyle w:val="3"/>
        <w:ind w:left="1015" w:right="859"/>
        <w:rPr>
          <w:color w:val="auto"/>
          <w:highlight w:val="none"/>
        </w:rPr>
      </w:pPr>
      <w:r>
        <w:rPr>
          <w:color w:val="auto"/>
          <w:highlight w:val="none"/>
        </w:rPr>
        <w:t>二、法定代表人授权委托书</w:t>
      </w:r>
    </w:p>
    <w:p>
      <w:pPr>
        <w:pStyle w:val="7"/>
        <w:tabs>
          <w:tab w:val="left" w:pos="5758"/>
        </w:tabs>
        <w:spacing w:before="222" w:line="343" w:lineRule="auto"/>
        <w:ind w:right="224" w:firstLine="437"/>
        <w:jc w:val="both"/>
        <w:rPr>
          <w:color w:val="auto"/>
          <w:highlight w:val="none"/>
        </w:rPr>
      </w:pPr>
      <w:r>
        <w:rPr>
          <w:color w:val="auto"/>
          <w:highlight w:val="none"/>
        </w:rPr>
        <w:t>本授权书声明：注册于中华人民共和国</w:t>
      </w:r>
      <w:r>
        <w:rPr>
          <w:color w:val="auto"/>
          <w:spacing w:val="6"/>
          <w:highlight w:val="none"/>
        </w:rPr>
        <w:t>的</w:t>
      </w:r>
      <w:r>
        <w:rPr>
          <w:color w:val="auto"/>
          <w:spacing w:val="6"/>
          <w:highlight w:val="none"/>
          <w:u w:val="single"/>
        </w:rPr>
        <w:t xml:space="preserve"> </w:t>
      </w:r>
      <w:r>
        <w:rPr>
          <w:color w:val="auto"/>
          <w:spacing w:val="6"/>
          <w:highlight w:val="none"/>
          <w:u w:val="single"/>
        </w:rPr>
        <w:tab/>
      </w:r>
      <w:r>
        <w:rPr>
          <w:color w:val="auto"/>
          <w:highlight w:val="none"/>
          <w:u w:val="single"/>
        </w:rPr>
        <w:t xml:space="preserve">（投标单位名称）    </w:t>
      </w:r>
      <w:r>
        <w:rPr>
          <w:color w:val="auto"/>
          <w:spacing w:val="35"/>
          <w:highlight w:val="none"/>
          <w:u w:val="single"/>
        </w:rPr>
        <w:t xml:space="preserve"> </w:t>
      </w:r>
      <w:r>
        <w:rPr>
          <w:color w:val="auto"/>
          <w:highlight w:val="none"/>
        </w:rPr>
        <w:t>的在下面签</w:t>
      </w:r>
      <w:r>
        <w:rPr>
          <w:color w:val="auto"/>
          <w:spacing w:val="-12"/>
          <w:highlight w:val="none"/>
        </w:rPr>
        <w:t>字</w:t>
      </w:r>
      <w:r>
        <w:rPr>
          <w:color w:val="auto"/>
          <w:highlight w:val="none"/>
        </w:rPr>
        <w:t>的</w:t>
      </w:r>
      <w:r>
        <w:rPr>
          <w:color w:val="auto"/>
          <w:highlight w:val="none"/>
          <w:u w:val="single"/>
        </w:rPr>
        <w:t xml:space="preserve">   </w:t>
      </w:r>
      <w:r>
        <w:rPr>
          <w:color w:val="auto"/>
          <w:spacing w:val="10"/>
          <w:highlight w:val="none"/>
          <w:u w:val="single"/>
        </w:rPr>
        <w:t xml:space="preserve"> </w:t>
      </w:r>
      <w:r>
        <w:rPr>
          <w:color w:val="auto"/>
          <w:highlight w:val="none"/>
          <w:u w:val="single"/>
        </w:rPr>
        <w:t xml:space="preserve">（法定代表人姓名、职务）    </w:t>
      </w:r>
      <w:r>
        <w:rPr>
          <w:color w:val="auto"/>
          <w:spacing w:val="14"/>
          <w:highlight w:val="none"/>
          <w:u w:val="single"/>
        </w:rPr>
        <w:t xml:space="preserve"> </w:t>
      </w:r>
      <w:r>
        <w:rPr>
          <w:color w:val="auto"/>
          <w:highlight w:val="none"/>
        </w:rPr>
        <w:t>代表本公司授权的在下面签字的</w:t>
      </w:r>
      <w:r>
        <w:rPr>
          <w:color w:val="auto"/>
          <w:highlight w:val="none"/>
          <w:u w:val="single"/>
        </w:rPr>
        <w:t xml:space="preserve">   </w:t>
      </w:r>
      <w:r>
        <w:rPr>
          <w:color w:val="auto"/>
          <w:spacing w:val="12"/>
          <w:highlight w:val="none"/>
          <w:u w:val="single"/>
        </w:rPr>
        <w:t xml:space="preserve"> </w:t>
      </w:r>
      <w:r>
        <w:rPr>
          <w:color w:val="auto"/>
          <w:highlight w:val="none"/>
          <w:u w:val="single"/>
        </w:rPr>
        <w:t>（被授权人的</w:t>
      </w:r>
      <w:r>
        <w:rPr>
          <w:color w:val="auto"/>
          <w:spacing w:val="-240"/>
          <w:highlight w:val="none"/>
          <w:u w:val="single"/>
        </w:rPr>
        <w:t>姓</w:t>
      </w:r>
      <w:r>
        <w:rPr>
          <w:color w:val="auto"/>
          <w:spacing w:val="-226"/>
          <w:highlight w:val="none"/>
          <w:u w:val="single"/>
        </w:rPr>
        <w:t>名</w:t>
      </w:r>
      <w:r>
        <w:rPr>
          <w:color w:val="auto"/>
          <w:spacing w:val="-17"/>
          <w:highlight w:val="none"/>
          <w:u w:val="single"/>
        </w:rPr>
        <w:t>、</w:t>
      </w:r>
      <w:r>
        <w:rPr>
          <w:color w:val="auto"/>
          <w:highlight w:val="none"/>
          <w:u w:val="single"/>
        </w:rPr>
        <w:t xml:space="preserve">职务）  </w:t>
      </w:r>
      <w:r>
        <w:rPr>
          <w:color w:val="auto"/>
          <w:spacing w:val="103"/>
          <w:highlight w:val="none"/>
          <w:u w:val="single"/>
        </w:rPr>
        <w:t xml:space="preserve"> </w:t>
      </w:r>
      <w:r>
        <w:rPr>
          <w:color w:val="auto"/>
          <w:highlight w:val="none"/>
        </w:rPr>
        <w:t>为本公司的合法代理人</w:t>
      </w:r>
      <w:r>
        <w:rPr>
          <w:color w:val="auto"/>
          <w:spacing w:val="-17"/>
          <w:highlight w:val="none"/>
        </w:rPr>
        <w:t>，</w:t>
      </w:r>
      <w:r>
        <w:rPr>
          <w:color w:val="auto"/>
          <w:highlight w:val="none"/>
        </w:rPr>
        <w:t>就项目编号为</w:t>
      </w:r>
      <w:r>
        <w:rPr>
          <w:color w:val="auto"/>
          <w:spacing w:val="-17"/>
          <w:highlight w:val="none"/>
          <w:u w:val="single"/>
        </w:rPr>
        <w:t xml:space="preserve"> </w:t>
      </w:r>
      <w:r>
        <w:rPr>
          <w:color w:val="auto"/>
          <w:highlight w:val="none"/>
          <w:u w:val="single"/>
        </w:rPr>
        <w:t>（项目编号）</w:t>
      </w:r>
      <w:r>
        <w:rPr>
          <w:color w:val="auto"/>
          <w:spacing w:val="-17"/>
          <w:highlight w:val="none"/>
        </w:rPr>
        <w:t xml:space="preserve"> </w:t>
      </w:r>
      <w:r>
        <w:rPr>
          <w:color w:val="auto"/>
          <w:highlight w:val="none"/>
        </w:rPr>
        <w:t>的</w:t>
      </w:r>
      <w:r>
        <w:rPr>
          <w:color w:val="auto"/>
          <w:highlight w:val="none"/>
          <w:u w:val="single"/>
        </w:rPr>
        <w:t xml:space="preserve">      (采购项目名称) </w:t>
      </w:r>
      <w:r>
        <w:rPr>
          <w:color w:val="auto"/>
          <w:highlight w:val="none"/>
        </w:rPr>
        <w:t>的投标，以本公司名义处理一切与之有关的事务。</w:t>
      </w:r>
    </w:p>
    <w:p>
      <w:pPr>
        <w:pStyle w:val="7"/>
        <w:tabs>
          <w:tab w:val="left" w:pos="2709"/>
          <w:tab w:val="left" w:pos="3670"/>
          <w:tab w:val="left" w:pos="4510"/>
        </w:tabs>
        <w:spacing w:before="159"/>
        <w:ind w:left="670"/>
        <w:rPr>
          <w:color w:val="auto"/>
          <w:highlight w:val="none"/>
        </w:rPr>
      </w:pPr>
      <w:r>
        <w:rPr>
          <w:color w:val="auto"/>
          <w:highlight w:val="none"/>
        </w:rPr>
        <w:t>本授权书于</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日签字生效，特此声明。</w:t>
      </w:r>
    </w:p>
    <w:p>
      <w:pPr>
        <w:pStyle w:val="7"/>
        <w:ind w:left="0"/>
        <w:rPr>
          <w:color w:val="auto"/>
          <w:sz w:val="20"/>
          <w:highlight w:val="none"/>
        </w:rPr>
      </w:pPr>
    </w:p>
    <w:p>
      <w:pPr>
        <w:pStyle w:val="7"/>
        <w:ind w:left="0"/>
        <w:rPr>
          <w:color w:val="auto"/>
          <w:sz w:val="20"/>
          <w:highlight w:val="none"/>
        </w:rPr>
      </w:pPr>
    </w:p>
    <w:p>
      <w:pPr>
        <w:pStyle w:val="7"/>
        <w:spacing w:before="2"/>
        <w:ind w:left="0"/>
        <w:rPr>
          <w:color w:val="auto"/>
          <w:sz w:val="10"/>
          <w:highlight w:val="none"/>
        </w:rPr>
      </w:pPr>
    </w:p>
    <w:tbl>
      <w:tblPr>
        <w:tblStyle w:val="10"/>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9"/>
        <w:gridCol w:w="4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7" w:hRule="atLeast"/>
        </w:trPr>
        <w:tc>
          <w:tcPr>
            <w:tcW w:w="4349" w:type="dxa"/>
          </w:tcPr>
          <w:p>
            <w:pPr>
              <w:pStyle w:val="26"/>
              <w:rPr>
                <w:color w:val="auto"/>
                <w:sz w:val="26"/>
                <w:highlight w:val="none"/>
              </w:rPr>
            </w:pPr>
          </w:p>
          <w:p>
            <w:pPr>
              <w:pStyle w:val="26"/>
              <w:tabs>
                <w:tab w:val="left" w:pos="4298"/>
              </w:tabs>
              <w:spacing w:before="221"/>
              <w:ind w:left="110"/>
              <w:rPr>
                <w:rFonts w:ascii="Times New Roman" w:eastAsia="Times New Roman"/>
                <w:color w:val="auto"/>
                <w:sz w:val="24"/>
                <w:highlight w:val="none"/>
              </w:rPr>
            </w:pPr>
            <w:r>
              <w:rPr>
                <w:b/>
                <w:color w:val="auto"/>
                <w:sz w:val="24"/>
                <w:highlight w:val="none"/>
              </w:rPr>
              <w:t>法人代表签字</w:t>
            </w:r>
            <w:r>
              <w:rPr>
                <w:color w:val="auto"/>
                <w:sz w:val="24"/>
                <w:highlight w:val="none"/>
              </w:rPr>
              <w:t>：</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pPr>
              <w:pStyle w:val="26"/>
              <w:rPr>
                <w:color w:val="auto"/>
                <w:sz w:val="26"/>
                <w:highlight w:val="none"/>
              </w:rPr>
            </w:pPr>
          </w:p>
          <w:p>
            <w:pPr>
              <w:pStyle w:val="26"/>
              <w:spacing w:before="7"/>
              <w:rPr>
                <w:color w:val="auto"/>
                <w:sz w:val="18"/>
                <w:highlight w:val="none"/>
              </w:rPr>
            </w:pPr>
          </w:p>
          <w:p>
            <w:pPr>
              <w:pStyle w:val="26"/>
              <w:spacing w:before="1"/>
              <w:ind w:left="110"/>
              <w:rPr>
                <w:color w:val="auto"/>
                <w:sz w:val="24"/>
                <w:highlight w:val="none"/>
              </w:rPr>
            </w:pPr>
            <w:r>
              <w:rPr>
                <w:color w:val="auto"/>
                <w:sz w:val="24"/>
                <w:highlight w:val="none"/>
              </w:rPr>
              <w:t>（公章）：</w:t>
            </w:r>
          </w:p>
          <w:p>
            <w:pPr>
              <w:pStyle w:val="26"/>
              <w:rPr>
                <w:color w:val="auto"/>
                <w:sz w:val="24"/>
                <w:highlight w:val="none"/>
              </w:rPr>
            </w:pPr>
          </w:p>
          <w:p>
            <w:pPr>
              <w:pStyle w:val="26"/>
              <w:spacing w:before="9"/>
              <w:rPr>
                <w:color w:val="auto"/>
                <w:sz w:val="20"/>
                <w:highlight w:val="none"/>
              </w:rPr>
            </w:pPr>
          </w:p>
          <w:p>
            <w:pPr>
              <w:pStyle w:val="26"/>
              <w:tabs>
                <w:tab w:val="left" w:pos="3403"/>
                <w:tab w:val="left" w:pos="4003"/>
              </w:tabs>
              <w:ind w:left="2803"/>
              <w:rPr>
                <w:color w:val="auto"/>
                <w:sz w:val="24"/>
                <w:highlight w:val="none"/>
              </w:rPr>
            </w:pP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tc>
        <w:tc>
          <w:tcPr>
            <w:tcW w:w="4373"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11"/>
              <w:rPr>
                <w:color w:val="auto"/>
                <w:sz w:val="29"/>
                <w:highlight w:val="none"/>
              </w:rPr>
            </w:pPr>
          </w:p>
          <w:p>
            <w:pPr>
              <w:pStyle w:val="26"/>
              <w:spacing w:before="1"/>
              <w:ind w:left="746"/>
              <w:rPr>
                <w:color w:val="auto"/>
                <w:sz w:val="24"/>
                <w:highlight w:val="none"/>
              </w:rPr>
            </w:pPr>
            <w:r>
              <w:rPr>
                <w:color w:val="auto"/>
                <w:sz w:val="24"/>
                <w:highlight w:val="none"/>
              </w:rPr>
              <w:t>（法人代表身份证复印件）</w:t>
            </w:r>
          </w:p>
        </w:tc>
      </w:tr>
    </w:tbl>
    <w:p>
      <w:pPr>
        <w:pStyle w:val="7"/>
        <w:ind w:left="0"/>
        <w:rPr>
          <w:color w:val="auto"/>
          <w:sz w:val="20"/>
          <w:highlight w:val="none"/>
        </w:rPr>
      </w:pPr>
    </w:p>
    <w:p>
      <w:pPr>
        <w:pStyle w:val="7"/>
        <w:spacing w:before="6"/>
        <w:ind w:left="0"/>
        <w:rPr>
          <w:color w:val="auto"/>
          <w:sz w:val="16"/>
          <w:highlight w:val="none"/>
        </w:rPr>
      </w:pPr>
    </w:p>
    <w:tbl>
      <w:tblPr>
        <w:tblStyle w:val="10"/>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9"/>
        <w:gridCol w:w="4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4349" w:type="dxa"/>
          </w:tcPr>
          <w:p>
            <w:pPr>
              <w:pStyle w:val="26"/>
              <w:rPr>
                <w:color w:val="auto"/>
                <w:sz w:val="26"/>
                <w:highlight w:val="none"/>
              </w:rPr>
            </w:pPr>
          </w:p>
          <w:p>
            <w:pPr>
              <w:pStyle w:val="26"/>
              <w:tabs>
                <w:tab w:val="left" w:pos="4298"/>
              </w:tabs>
              <w:spacing w:before="218" w:line="688" w:lineRule="auto"/>
              <w:ind w:left="110" w:right="38"/>
              <w:rPr>
                <w:rFonts w:ascii="Times New Roman" w:eastAsia="Times New Roman"/>
                <w:color w:val="auto"/>
                <w:sz w:val="24"/>
                <w:highlight w:val="none"/>
              </w:rPr>
            </w:pPr>
            <w:r>
              <w:rPr>
                <w:b/>
                <w:color w:val="auto"/>
                <w:w w:val="95"/>
                <w:sz w:val="24"/>
                <w:highlight w:val="none"/>
              </w:rPr>
              <w:t>代理人（被授权人）签</w:t>
            </w:r>
            <w:r>
              <w:rPr>
                <w:b/>
                <w:color w:val="auto"/>
                <w:spacing w:val="3"/>
                <w:w w:val="95"/>
                <w:sz w:val="24"/>
                <w:highlight w:val="none"/>
              </w:rPr>
              <w:t>字</w:t>
            </w:r>
            <w:r>
              <w:rPr>
                <w:color w:val="auto"/>
                <w:w w:val="95"/>
                <w:sz w:val="24"/>
                <w:highlight w:val="none"/>
              </w:rPr>
              <w:t>：</w:t>
            </w:r>
            <w:r>
              <w:rPr>
                <w:color w:val="auto"/>
                <w:w w:val="95"/>
                <w:sz w:val="24"/>
                <w:highlight w:val="none"/>
                <w:u w:val="single"/>
              </w:rPr>
              <w:tab/>
            </w:r>
            <w:r>
              <w:rPr>
                <w:color w:val="auto"/>
                <w:spacing w:val="-1"/>
                <w:w w:val="95"/>
                <w:sz w:val="24"/>
                <w:highlight w:val="none"/>
                <w:u w:val="single"/>
              </w:rPr>
              <w:t xml:space="preserve">        </w:t>
            </w:r>
            <w:r>
              <w:rPr>
                <w:color w:val="auto"/>
                <w:spacing w:val="8"/>
                <w:w w:val="95"/>
                <w:sz w:val="24"/>
                <w:highlight w:val="none"/>
                <w:u w:val="single"/>
              </w:rPr>
              <w:t xml:space="preserve"> </w:t>
            </w:r>
            <w:r>
              <w:rPr>
                <w:color w:val="auto"/>
                <w:spacing w:val="-1"/>
                <w:sz w:val="24"/>
                <w:highlight w:val="none"/>
              </w:rPr>
              <w:t>职</w:t>
            </w:r>
            <w:r>
              <w:rPr>
                <w:color w:val="auto"/>
                <w:sz w:val="24"/>
                <w:highlight w:val="none"/>
              </w:rPr>
              <w:t>务：</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pPr>
              <w:pStyle w:val="26"/>
              <w:tabs>
                <w:tab w:val="left" w:pos="3403"/>
                <w:tab w:val="left" w:pos="4003"/>
              </w:tabs>
              <w:spacing w:line="302" w:lineRule="exact"/>
              <w:ind w:left="2803"/>
              <w:rPr>
                <w:color w:val="auto"/>
                <w:sz w:val="24"/>
                <w:highlight w:val="none"/>
              </w:rPr>
            </w:pP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tc>
        <w:tc>
          <w:tcPr>
            <w:tcW w:w="4373" w:type="dxa"/>
          </w:tcPr>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spacing w:before="11"/>
              <w:rPr>
                <w:color w:val="auto"/>
                <w:sz w:val="29"/>
                <w:highlight w:val="none"/>
              </w:rPr>
            </w:pPr>
          </w:p>
          <w:p>
            <w:pPr>
              <w:pStyle w:val="26"/>
              <w:ind w:left="746"/>
              <w:rPr>
                <w:color w:val="auto"/>
                <w:sz w:val="24"/>
                <w:highlight w:val="none"/>
              </w:rPr>
            </w:pPr>
            <w:r>
              <w:rPr>
                <w:color w:val="auto"/>
                <w:sz w:val="24"/>
                <w:highlight w:val="none"/>
              </w:rPr>
              <w:t>（被授权人身份证复印件）</w:t>
            </w:r>
          </w:p>
        </w:tc>
      </w:tr>
    </w:tbl>
    <w:p>
      <w:pPr>
        <w:pStyle w:val="7"/>
        <w:spacing w:before="6"/>
        <w:ind w:left="0"/>
        <w:rPr>
          <w:color w:val="auto"/>
          <w:sz w:val="8"/>
          <w:highlight w:val="none"/>
        </w:rPr>
      </w:pPr>
    </w:p>
    <w:p>
      <w:pPr>
        <w:pStyle w:val="6"/>
        <w:spacing w:before="66"/>
        <w:ind w:left="715"/>
        <w:rPr>
          <w:color w:val="auto"/>
          <w:highlight w:val="none"/>
        </w:rPr>
      </w:pPr>
      <w:r>
        <w:rPr>
          <w:color w:val="auto"/>
          <w:highlight w:val="none"/>
        </w:rPr>
        <w:t>即投标截止前的社保缴纳证明或劳动合同</w:t>
      </w:r>
    </w:p>
    <w:p>
      <w:pPr>
        <w:spacing w:after="0"/>
        <w:rPr>
          <w:color w:val="auto"/>
          <w:highlight w:val="none"/>
        </w:rPr>
        <w:sectPr>
          <w:pgSz w:w="11910" w:h="16840"/>
          <w:pgMar w:top="1180" w:right="900" w:bottom="1200" w:left="900" w:header="0" w:footer="928" w:gutter="0"/>
        </w:sectPr>
      </w:pPr>
    </w:p>
    <w:p>
      <w:pPr>
        <w:pStyle w:val="7"/>
        <w:ind w:left="0"/>
        <w:rPr>
          <w:b/>
          <w:color w:val="auto"/>
          <w:highlight w:val="none"/>
        </w:rPr>
      </w:pPr>
    </w:p>
    <w:p>
      <w:pPr>
        <w:pStyle w:val="7"/>
        <w:spacing w:before="7"/>
        <w:ind w:left="0"/>
        <w:rPr>
          <w:b/>
          <w:color w:val="auto"/>
          <w:sz w:val="19"/>
          <w:highlight w:val="none"/>
        </w:rPr>
      </w:pPr>
    </w:p>
    <w:p>
      <w:pPr>
        <w:pStyle w:val="7"/>
        <w:spacing w:before="1"/>
        <w:ind w:left="220" w:leftChars="0" w:right="-4004" w:rightChars="-1820" w:firstLine="0" w:firstLineChars="0"/>
        <w:rPr>
          <w:rFonts w:hint="eastAsia" w:eastAsia="楷体"/>
          <w:color w:val="auto"/>
          <w:highlight w:val="none"/>
          <w:lang w:eastAsia="zh-CN"/>
        </w:rPr>
      </w:pPr>
      <w:r>
        <w:rPr>
          <w:color w:val="auto"/>
          <w:highlight w:val="none"/>
        </w:rPr>
        <w:t>项目编号：</w:t>
      </w:r>
      <w:r>
        <w:rPr>
          <w:rFonts w:hint="eastAsia"/>
          <w:color w:val="auto"/>
          <w:highlight w:val="none"/>
          <w:lang w:eastAsia="zh-CN"/>
        </w:rPr>
        <w:t>HLZFCG-202105-001</w:t>
      </w:r>
    </w:p>
    <w:p>
      <w:pPr>
        <w:pStyle w:val="3"/>
        <w:ind w:left="473"/>
        <w:jc w:val="left"/>
        <w:rPr>
          <w:color w:val="auto"/>
          <w:highlight w:val="none"/>
        </w:rPr>
      </w:pPr>
      <w:r>
        <w:rPr>
          <w:b w:val="0"/>
          <w:color w:val="auto"/>
          <w:highlight w:val="none"/>
        </w:rPr>
        <w:br w:type="column"/>
      </w:r>
      <w:r>
        <w:rPr>
          <w:color w:val="auto"/>
          <w:highlight w:val="none"/>
        </w:rPr>
        <w:t>三、报价一览表</w:t>
      </w:r>
    </w:p>
    <w:p>
      <w:pPr>
        <w:spacing w:after="0"/>
        <w:jc w:val="left"/>
        <w:rPr>
          <w:color w:val="auto"/>
          <w:highlight w:val="none"/>
        </w:rPr>
        <w:sectPr>
          <w:pgSz w:w="11910" w:h="16840"/>
          <w:pgMar w:top="1180" w:right="900" w:bottom="1200" w:left="900" w:header="0" w:footer="928" w:gutter="0"/>
          <w:cols w:equalWidth="0" w:num="2">
            <w:col w:w="3520" w:space="15"/>
            <w:col w:w="6575"/>
          </w:cols>
        </w:sectPr>
      </w:pPr>
    </w:p>
    <w:p>
      <w:pPr>
        <w:pStyle w:val="7"/>
        <w:spacing w:before="6"/>
        <w:ind w:left="0"/>
        <w:rPr>
          <w:b/>
          <w:color w:val="auto"/>
          <w:sz w:val="12"/>
          <w:highlight w:val="none"/>
        </w:rPr>
      </w:pPr>
    </w:p>
    <w:tbl>
      <w:tblPr>
        <w:tblStyle w:val="10"/>
        <w:tblW w:w="0" w:type="auto"/>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4"/>
        <w:gridCol w:w="2216"/>
        <w:gridCol w:w="1721"/>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3834" w:type="dxa"/>
          </w:tcPr>
          <w:p>
            <w:pPr>
              <w:pStyle w:val="26"/>
              <w:rPr>
                <w:b/>
                <w:color w:val="auto"/>
                <w:sz w:val="24"/>
                <w:highlight w:val="none"/>
              </w:rPr>
            </w:pPr>
          </w:p>
          <w:p>
            <w:pPr>
              <w:pStyle w:val="26"/>
              <w:spacing w:before="2"/>
              <w:rPr>
                <w:b/>
                <w:color w:val="auto"/>
                <w:sz w:val="23"/>
                <w:highlight w:val="none"/>
              </w:rPr>
            </w:pPr>
          </w:p>
          <w:p>
            <w:pPr>
              <w:pStyle w:val="26"/>
              <w:ind w:left="1057" w:right="1046"/>
              <w:jc w:val="center"/>
              <w:rPr>
                <w:color w:val="auto"/>
                <w:sz w:val="24"/>
                <w:highlight w:val="none"/>
              </w:rPr>
            </w:pPr>
            <w:r>
              <w:rPr>
                <w:color w:val="auto"/>
                <w:sz w:val="24"/>
                <w:highlight w:val="none"/>
              </w:rPr>
              <w:t>项目名称</w:t>
            </w:r>
          </w:p>
        </w:tc>
        <w:tc>
          <w:tcPr>
            <w:tcW w:w="2216" w:type="dxa"/>
          </w:tcPr>
          <w:p>
            <w:pPr>
              <w:pStyle w:val="26"/>
              <w:rPr>
                <w:b/>
                <w:color w:val="auto"/>
                <w:sz w:val="24"/>
                <w:highlight w:val="none"/>
              </w:rPr>
            </w:pPr>
          </w:p>
          <w:p>
            <w:pPr>
              <w:pStyle w:val="26"/>
              <w:spacing w:before="2"/>
              <w:rPr>
                <w:b/>
                <w:color w:val="auto"/>
                <w:sz w:val="23"/>
                <w:highlight w:val="none"/>
              </w:rPr>
            </w:pPr>
          </w:p>
          <w:p>
            <w:pPr>
              <w:pStyle w:val="26"/>
              <w:ind w:left="388"/>
              <w:rPr>
                <w:color w:val="auto"/>
                <w:sz w:val="24"/>
                <w:highlight w:val="none"/>
              </w:rPr>
            </w:pPr>
            <w:r>
              <w:rPr>
                <w:color w:val="auto"/>
                <w:sz w:val="24"/>
                <w:highlight w:val="none"/>
              </w:rPr>
              <w:t>总报价（元）</w:t>
            </w:r>
          </w:p>
        </w:tc>
        <w:tc>
          <w:tcPr>
            <w:tcW w:w="1721" w:type="dxa"/>
          </w:tcPr>
          <w:p>
            <w:pPr>
              <w:pStyle w:val="26"/>
              <w:rPr>
                <w:b/>
                <w:color w:val="auto"/>
                <w:sz w:val="24"/>
                <w:highlight w:val="none"/>
              </w:rPr>
            </w:pPr>
          </w:p>
          <w:p>
            <w:pPr>
              <w:pStyle w:val="26"/>
              <w:spacing w:before="2"/>
              <w:rPr>
                <w:b/>
                <w:color w:val="auto"/>
                <w:sz w:val="23"/>
                <w:highlight w:val="none"/>
              </w:rPr>
            </w:pPr>
          </w:p>
          <w:p>
            <w:pPr>
              <w:pStyle w:val="26"/>
              <w:ind w:left="600" w:right="590"/>
              <w:jc w:val="center"/>
              <w:rPr>
                <w:color w:val="auto"/>
                <w:sz w:val="24"/>
                <w:highlight w:val="none"/>
              </w:rPr>
            </w:pPr>
            <w:r>
              <w:rPr>
                <w:color w:val="auto"/>
                <w:sz w:val="24"/>
                <w:highlight w:val="none"/>
              </w:rPr>
              <w:t>工期</w:t>
            </w:r>
          </w:p>
        </w:tc>
        <w:tc>
          <w:tcPr>
            <w:tcW w:w="1652" w:type="dxa"/>
          </w:tcPr>
          <w:p>
            <w:pPr>
              <w:pStyle w:val="26"/>
              <w:rPr>
                <w:b/>
                <w:color w:val="auto"/>
                <w:sz w:val="24"/>
                <w:highlight w:val="none"/>
              </w:rPr>
            </w:pPr>
          </w:p>
          <w:p>
            <w:pPr>
              <w:pStyle w:val="26"/>
              <w:spacing w:before="2"/>
              <w:rPr>
                <w:b/>
                <w:color w:val="auto"/>
                <w:sz w:val="23"/>
                <w:highlight w:val="none"/>
              </w:rPr>
            </w:pPr>
          </w:p>
          <w:p>
            <w:pPr>
              <w:pStyle w:val="26"/>
              <w:ind w:left="345"/>
              <w:rPr>
                <w:color w:val="auto"/>
                <w:sz w:val="24"/>
                <w:highlight w:val="none"/>
              </w:rPr>
            </w:pPr>
            <w:r>
              <w:rPr>
                <w:color w:val="auto"/>
                <w:sz w:val="24"/>
                <w:highlight w:val="none"/>
              </w:rPr>
              <w:t>质量等级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3834" w:type="dxa"/>
          </w:tcPr>
          <w:p>
            <w:pPr>
              <w:pStyle w:val="26"/>
              <w:rPr>
                <w:rFonts w:ascii="Times New Roman"/>
                <w:color w:val="auto"/>
                <w:sz w:val="22"/>
                <w:highlight w:val="none"/>
              </w:rPr>
            </w:pPr>
          </w:p>
        </w:tc>
        <w:tc>
          <w:tcPr>
            <w:tcW w:w="2216" w:type="dxa"/>
          </w:tcPr>
          <w:p>
            <w:pPr>
              <w:pStyle w:val="26"/>
              <w:rPr>
                <w:rFonts w:ascii="Times New Roman"/>
                <w:color w:val="auto"/>
                <w:sz w:val="22"/>
                <w:highlight w:val="none"/>
              </w:rPr>
            </w:pPr>
          </w:p>
        </w:tc>
        <w:tc>
          <w:tcPr>
            <w:tcW w:w="1721" w:type="dxa"/>
          </w:tcPr>
          <w:p>
            <w:pPr>
              <w:pStyle w:val="26"/>
              <w:rPr>
                <w:rFonts w:ascii="Times New Roman"/>
                <w:color w:val="auto"/>
                <w:sz w:val="22"/>
                <w:highlight w:val="none"/>
              </w:rPr>
            </w:pPr>
          </w:p>
        </w:tc>
        <w:tc>
          <w:tcPr>
            <w:tcW w:w="1652"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3834" w:type="dxa"/>
          </w:tcPr>
          <w:p>
            <w:pPr>
              <w:pStyle w:val="26"/>
              <w:rPr>
                <w:b/>
                <w:color w:val="auto"/>
                <w:sz w:val="24"/>
                <w:highlight w:val="none"/>
              </w:rPr>
            </w:pPr>
          </w:p>
          <w:p>
            <w:pPr>
              <w:pStyle w:val="26"/>
              <w:rPr>
                <w:b/>
                <w:color w:val="auto"/>
                <w:sz w:val="24"/>
                <w:highlight w:val="none"/>
              </w:rPr>
            </w:pPr>
          </w:p>
          <w:p>
            <w:pPr>
              <w:pStyle w:val="26"/>
              <w:spacing w:before="180"/>
              <w:ind w:left="1057" w:right="1046"/>
              <w:jc w:val="center"/>
              <w:rPr>
                <w:color w:val="auto"/>
                <w:sz w:val="24"/>
                <w:highlight w:val="none"/>
              </w:rPr>
            </w:pPr>
            <w:r>
              <w:rPr>
                <w:color w:val="auto"/>
                <w:sz w:val="24"/>
                <w:highlight w:val="none"/>
              </w:rPr>
              <w:t>总报价（大写）</w:t>
            </w:r>
          </w:p>
        </w:tc>
        <w:tc>
          <w:tcPr>
            <w:tcW w:w="5589" w:type="dxa"/>
            <w:gridSpan w:val="3"/>
          </w:tcPr>
          <w:p>
            <w:pPr>
              <w:pStyle w:val="26"/>
              <w:rPr>
                <w:rFonts w:ascii="Times New Roman"/>
                <w:color w:val="auto"/>
                <w:sz w:val="22"/>
                <w:highlight w:val="none"/>
              </w:rPr>
            </w:pPr>
          </w:p>
        </w:tc>
      </w:tr>
    </w:tbl>
    <w:p>
      <w:pPr>
        <w:pStyle w:val="7"/>
        <w:ind w:left="0"/>
        <w:rPr>
          <w:b/>
          <w:color w:val="auto"/>
          <w:sz w:val="20"/>
          <w:highlight w:val="none"/>
        </w:rPr>
      </w:pPr>
    </w:p>
    <w:p>
      <w:pPr>
        <w:pStyle w:val="7"/>
        <w:ind w:left="0"/>
        <w:rPr>
          <w:b/>
          <w:color w:val="auto"/>
          <w:sz w:val="20"/>
          <w:highlight w:val="none"/>
        </w:rPr>
      </w:pPr>
    </w:p>
    <w:p>
      <w:pPr>
        <w:pStyle w:val="7"/>
        <w:spacing w:before="3"/>
        <w:ind w:left="0"/>
        <w:rPr>
          <w:b/>
          <w:color w:val="auto"/>
          <w:sz w:val="27"/>
          <w:highlight w:val="none"/>
        </w:rPr>
      </w:pPr>
    </w:p>
    <w:p>
      <w:pPr>
        <w:pStyle w:val="7"/>
        <w:tabs>
          <w:tab w:val="left" w:pos="5568"/>
        </w:tabs>
        <w:spacing w:before="74"/>
        <w:ind w:left="473"/>
        <w:rPr>
          <w:rFonts w:ascii="Times New Roman" w:eastAsia="Times New Roman"/>
          <w:color w:val="auto"/>
          <w:highlight w:val="none"/>
        </w:rPr>
      </w:pPr>
      <w:r>
        <w:rPr>
          <w:color w:val="auto"/>
          <w:spacing w:val="-1"/>
          <w:highlight w:val="none"/>
        </w:rPr>
        <w:t>投</w:t>
      </w:r>
      <w:r>
        <w:rPr>
          <w:color w:val="auto"/>
          <w:highlight w:val="none"/>
        </w:rPr>
        <w:t>标单位：（盖章）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ind w:left="0"/>
        <w:rPr>
          <w:rFonts w:ascii="Times New Roman"/>
          <w:color w:val="auto"/>
          <w:sz w:val="20"/>
          <w:highlight w:val="none"/>
        </w:rPr>
      </w:pPr>
    </w:p>
    <w:p>
      <w:pPr>
        <w:pStyle w:val="7"/>
        <w:spacing w:before="3"/>
        <w:ind w:left="0"/>
        <w:rPr>
          <w:rFonts w:ascii="Times New Roman"/>
          <w:color w:val="auto"/>
          <w:sz w:val="28"/>
          <w:highlight w:val="none"/>
        </w:rPr>
      </w:pPr>
    </w:p>
    <w:p>
      <w:pPr>
        <w:pStyle w:val="7"/>
        <w:tabs>
          <w:tab w:val="left" w:pos="6769"/>
        </w:tabs>
        <w:spacing w:before="74"/>
        <w:ind w:left="473"/>
        <w:rPr>
          <w:rFonts w:ascii="Times New Roman" w:eastAsia="Times New Roman"/>
          <w:color w:val="auto"/>
          <w:highlight w:val="none"/>
        </w:rPr>
      </w:pPr>
      <w:r>
        <w:rPr>
          <w:color w:val="auto"/>
          <w:highlight w:val="none"/>
        </w:rPr>
        <w:t>法定代表人或授权代理人签字：</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ind w:left="0"/>
        <w:rPr>
          <w:rFonts w:ascii="Times New Roman"/>
          <w:color w:val="auto"/>
          <w:sz w:val="20"/>
          <w:highlight w:val="none"/>
        </w:rPr>
      </w:pPr>
    </w:p>
    <w:p>
      <w:pPr>
        <w:pStyle w:val="7"/>
        <w:spacing w:before="10"/>
        <w:ind w:left="0"/>
        <w:rPr>
          <w:rFonts w:ascii="Times New Roman"/>
          <w:color w:val="auto"/>
          <w:sz w:val="28"/>
          <w:highlight w:val="none"/>
        </w:rPr>
      </w:pPr>
    </w:p>
    <w:p>
      <w:pPr>
        <w:pStyle w:val="7"/>
        <w:tabs>
          <w:tab w:val="left" w:pos="6992"/>
          <w:tab w:val="left" w:pos="7952"/>
          <w:tab w:val="left" w:pos="8913"/>
        </w:tabs>
        <w:spacing w:before="67"/>
        <w:ind w:left="5432"/>
        <w:rPr>
          <w:color w:val="auto"/>
          <w:highlight w:val="none"/>
        </w:rPr>
      </w:pPr>
      <w:r>
        <w:rPr>
          <w:color w:val="auto"/>
          <w:highlight w:val="none"/>
        </w:rPr>
        <w:t>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spacing w:after="0"/>
        <w:rPr>
          <w:color w:val="auto"/>
          <w:highlight w:val="none"/>
        </w:rPr>
        <w:sectPr>
          <w:type w:val="continuous"/>
          <w:pgSz w:w="11910" w:h="16840"/>
          <w:pgMar w:top="1580" w:right="900" w:bottom="1120" w:left="900" w:header="720" w:footer="720" w:gutter="0"/>
        </w:sectPr>
      </w:pPr>
    </w:p>
    <w:p>
      <w:pPr>
        <w:pStyle w:val="3"/>
        <w:ind w:right="4"/>
        <w:rPr>
          <w:color w:val="auto"/>
          <w:highlight w:val="none"/>
        </w:rPr>
      </w:pPr>
      <w:r>
        <w:rPr>
          <w:color w:val="auto"/>
          <w:highlight w:val="none"/>
        </w:rPr>
        <w:t>四、已标价工程量清单</w:t>
      </w:r>
    </w:p>
    <w:p>
      <w:pPr>
        <w:spacing w:after="0"/>
        <w:rPr>
          <w:color w:val="auto"/>
          <w:highlight w:val="none"/>
        </w:rPr>
        <w:sectPr>
          <w:pgSz w:w="11910" w:h="16840"/>
          <w:pgMar w:top="1180" w:right="900" w:bottom="1200" w:left="900" w:header="0" w:footer="928" w:gutter="0"/>
        </w:sectPr>
      </w:pPr>
    </w:p>
    <w:p>
      <w:pPr>
        <w:spacing w:before="33"/>
        <w:ind w:left="0" w:right="4" w:firstLine="0"/>
        <w:jc w:val="center"/>
        <w:rPr>
          <w:b/>
          <w:color w:val="auto"/>
          <w:sz w:val="32"/>
          <w:highlight w:val="none"/>
        </w:rPr>
      </w:pPr>
      <w:bookmarkStart w:id="8" w:name="五、资格证明文件（复印件并加盖公章）"/>
      <w:bookmarkEnd w:id="8"/>
      <w:r>
        <w:rPr>
          <w:b/>
          <w:color w:val="auto"/>
          <w:sz w:val="32"/>
          <w:highlight w:val="none"/>
        </w:rPr>
        <w:t>五、</w:t>
      </w:r>
      <w:r>
        <w:rPr>
          <w:rFonts w:hint="eastAsia"/>
          <w:b/>
          <w:color w:val="auto"/>
          <w:sz w:val="32"/>
          <w:highlight w:val="none"/>
          <w:lang w:eastAsia="zh-CN"/>
        </w:rPr>
        <w:t>投标单位</w:t>
      </w:r>
      <w:r>
        <w:rPr>
          <w:b/>
          <w:color w:val="auto"/>
          <w:sz w:val="32"/>
          <w:highlight w:val="none"/>
        </w:rPr>
        <w:t>资格证明文件（复印件并加盖公章）</w:t>
      </w:r>
    </w:p>
    <w:p>
      <w:pPr>
        <w:pStyle w:val="25"/>
        <w:numPr>
          <w:ilvl w:val="0"/>
          <w:numId w:val="36"/>
        </w:numPr>
        <w:tabs>
          <w:tab w:val="left" w:pos="1113"/>
        </w:tabs>
        <w:spacing w:before="71" w:after="0" w:line="240" w:lineRule="auto"/>
        <w:ind w:left="1112" w:right="0" w:hanging="602"/>
        <w:jc w:val="left"/>
        <w:rPr>
          <w:color w:val="auto"/>
          <w:sz w:val="24"/>
          <w:highlight w:val="none"/>
        </w:rPr>
      </w:pPr>
      <w:bookmarkStart w:id="9" w:name="（1）基本资格条件：符合《中华人民共和国政府采购法》第二十二条的规定；"/>
      <w:bookmarkEnd w:id="9"/>
      <w:bookmarkStart w:id="10" w:name="（1）基本资格条件：符合《中华人民共和国政府采购法》第二十二条的规定；"/>
      <w:bookmarkEnd w:id="10"/>
      <w:r>
        <w:rPr>
          <w:color w:val="auto"/>
          <w:sz w:val="24"/>
          <w:highlight w:val="none"/>
        </w:rPr>
        <w:t>基本资格条件：符合《中华人民共和国政府采购法》第二十二条的规定；</w:t>
      </w:r>
    </w:p>
    <w:p>
      <w:pPr>
        <w:pStyle w:val="25"/>
        <w:numPr>
          <w:ilvl w:val="0"/>
          <w:numId w:val="36"/>
        </w:numPr>
        <w:tabs>
          <w:tab w:val="left" w:pos="1113"/>
        </w:tabs>
        <w:spacing w:before="161" w:after="0" w:line="240" w:lineRule="auto"/>
        <w:ind w:left="1112" w:right="0" w:hanging="602"/>
        <w:jc w:val="left"/>
        <w:rPr>
          <w:color w:val="auto"/>
          <w:sz w:val="24"/>
          <w:highlight w:val="none"/>
        </w:rPr>
      </w:pPr>
      <w:bookmarkStart w:id="11" w:name="（2）特定资格条件："/>
      <w:bookmarkEnd w:id="11"/>
      <w:bookmarkStart w:id="12" w:name="（2）特定资格条件："/>
      <w:bookmarkEnd w:id="12"/>
      <w:r>
        <w:rPr>
          <w:color w:val="auto"/>
          <w:sz w:val="24"/>
          <w:highlight w:val="none"/>
        </w:rPr>
        <w:t>特定资格条件：</w:t>
      </w:r>
    </w:p>
    <w:p>
      <w:pPr>
        <w:pStyle w:val="7"/>
        <w:numPr>
          <w:ilvl w:val="0"/>
          <w:numId w:val="37"/>
        </w:numPr>
        <w:spacing w:before="160" w:line="364" w:lineRule="auto"/>
        <w:ind w:right="234" w:firstLine="480"/>
        <w:jc w:val="both"/>
        <w:rPr>
          <w:color w:val="auto"/>
          <w:highlight w:val="none"/>
        </w:rPr>
      </w:pPr>
      <w:bookmarkStart w:id="13" w:name="1、具有独立承担民事责任能力的法人、其他组织或自然人，提供合法有效的营业执照/事"/>
      <w:bookmarkEnd w:id="13"/>
      <w:r>
        <w:rPr>
          <w:rFonts w:hint="eastAsia"/>
          <w:color w:val="auto"/>
          <w:highlight w:val="none"/>
        </w:rPr>
        <w:t>具有合法有效的营业执照、税务登记证和组织机构代码证合法有效（三证合一的企业只提供带有统一社会信用代码的营业执照副本）</w:t>
      </w:r>
      <w:r>
        <w:rPr>
          <w:color w:val="auto"/>
          <w:highlight w:val="none"/>
        </w:rPr>
        <w:t>；</w:t>
      </w:r>
    </w:p>
    <w:p>
      <w:pPr>
        <w:pStyle w:val="7"/>
        <w:numPr>
          <w:ilvl w:val="0"/>
          <w:numId w:val="37"/>
        </w:numPr>
        <w:spacing w:before="160" w:line="364" w:lineRule="auto"/>
        <w:ind w:right="234" w:firstLine="480"/>
        <w:jc w:val="both"/>
        <w:rPr>
          <w:color w:val="auto"/>
          <w:highlight w:val="none"/>
        </w:rPr>
      </w:pPr>
      <w:r>
        <w:rPr>
          <w:rFonts w:hint="eastAsia"/>
          <w:color w:val="auto"/>
          <w:spacing w:val="-10"/>
          <w:highlight w:val="none"/>
        </w:rPr>
        <w:t>企业法人授权委托书和被授权人有效身份证件（法定代表人直接参加时，只须出示法定代表人身份证件；授权委托人须提供本公司所在地社会保险管理部门出具的被授权人在本单位缴纳社会保险的清单或其他相关证明。）</w:t>
      </w:r>
      <w:r>
        <w:rPr>
          <w:color w:val="auto"/>
          <w:highlight w:val="none"/>
        </w:rPr>
        <w:t>；</w:t>
      </w:r>
    </w:p>
    <w:p>
      <w:pPr>
        <w:pStyle w:val="7"/>
        <w:numPr>
          <w:ilvl w:val="0"/>
          <w:numId w:val="37"/>
        </w:numPr>
        <w:spacing w:before="160" w:line="364" w:lineRule="auto"/>
        <w:ind w:right="234" w:firstLine="480"/>
        <w:jc w:val="both"/>
        <w:rPr>
          <w:rFonts w:hint="eastAsia"/>
          <w:color w:val="auto"/>
          <w:spacing w:val="-10"/>
          <w:highlight w:val="none"/>
        </w:rPr>
      </w:pPr>
      <w:bookmarkStart w:id="14" w:name="2、本次磋商要求投标人具有建设行政主管部门核发的公路工程施工总承包三级（含三级）"/>
      <w:bookmarkEnd w:id="14"/>
      <w:r>
        <w:rPr>
          <w:rFonts w:hint="eastAsia"/>
          <w:color w:val="auto"/>
          <w:spacing w:val="-10"/>
          <w:highlight w:val="none"/>
        </w:rPr>
        <w:t>投标企业须具备相关行政主管部门颁发的公路工程或市政公用工程施工总承包三级(含三级)及以上资质和有效的安全生产许可证，申请人拟派项目经理须具有相应专业二级及以上（含二级）注册建造师执业资格证、注册证、有效的安全生产考核合格证书及项目经理无在建工程承诺；</w:t>
      </w:r>
    </w:p>
    <w:p>
      <w:pPr>
        <w:pStyle w:val="7"/>
        <w:numPr>
          <w:ilvl w:val="0"/>
          <w:numId w:val="37"/>
        </w:numPr>
        <w:spacing w:before="160" w:line="364" w:lineRule="auto"/>
        <w:ind w:right="234" w:firstLine="480"/>
        <w:jc w:val="both"/>
        <w:rPr>
          <w:rFonts w:hint="eastAsia"/>
          <w:color w:val="auto"/>
          <w:spacing w:val="-10"/>
          <w:highlight w:val="none"/>
        </w:rPr>
      </w:pPr>
      <w:bookmarkStart w:id="15" w:name="3、参加本次政府采购活动前三年内在经营活动中没有重大违纪，以及未被列入失信被执行"/>
      <w:bookmarkEnd w:id="15"/>
      <w:r>
        <w:rPr>
          <w:rFonts w:hint="eastAsia"/>
          <w:color w:val="auto"/>
          <w:spacing w:val="-10"/>
          <w:highlight w:val="none"/>
        </w:rPr>
        <w:t>通过中国政府采购网（www.ccgp.gov.cn）和“信用中国”网站(www.creditchina.gov.cn)查询相关主体无失信记录（网站查询的截图，加盖企业公章）以及参加政府采购活动前3年内在经营活动中没有重大违法记录的书面声明；</w:t>
      </w:r>
    </w:p>
    <w:p>
      <w:pPr>
        <w:pStyle w:val="7"/>
        <w:numPr>
          <w:ilvl w:val="0"/>
          <w:numId w:val="37"/>
        </w:numPr>
        <w:spacing w:before="160" w:line="364" w:lineRule="auto"/>
        <w:ind w:right="234" w:firstLine="480"/>
        <w:jc w:val="both"/>
        <w:rPr>
          <w:rFonts w:hint="eastAsia"/>
          <w:color w:val="auto"/>
          <w:spacing w:val="-10"/>
          <w:highlight w:val="none"/>
        </w:rPr>
      </w:pPr>
      <w:bookmarkStart w:id="16" w:name="4、供应商通过“信用中国”网站(www.creditchina.gov.cn )"/>
      <w:bookmarkEnd w:id="16"/>
      <w:bookmarkStart w:id="17" w:name="5、本项目不接受联合体投标；（需提供非联合声明承诺书）"/>
      <w:bookmarkEnd w:id="17"/>
      <w:r>
        <w:rPr>
          <w:rFonts w:hint="eastAsia"/>
          <w:color w:val="auto"/>
          <w:spacing w:val="-10"/>
          <w:highlight w:val="none"/>
        </w:rPr>
        <w:t>本项目不接受联合体投标；（需提供非联合声明承诺书）</w:t>
      </w:r>
    </w:p>
    <w:p>
      <w:pPr>
        <w:pStyle w:val="7"/>
        <w:numPr>
          <w:ilvl w:val="0"/>
          <w:numId w:val="37"/>
        </w:numPr>
        <w:spacing w:before="160" w:line="364" w:lineRule="auto"/>
        <w:ind w:right="234" w:firstLine="480"/>
        <w:jc w:val="both"/>
        <w:rPr>
          <w:rFonts w:hint="eastAsia"/>
          <w:color w:val="auto"/>
          <w:spacing w:val="-10"/>
          <w:highlight w:val="none"/>
        </w:rPr>
      </w:pPr>
      <w:bookmarkStart w:id="18" w:name="6、保证金缴纳凭证。"/>
      <w:bookmarkEnd w:id="18"/>
      <w:r>
        <w:rPr>
          <w:rFonts w:hint="eastAsia"/>
          <w:color w:val="auto"/>
          <w:spacing w:val="-10"/>
          <w:highlight w:val="none"/>
        </w:rPr>
        <w:t>保证金缴纳凭证。</w:t>
      </w:r>
    </w:p>
    <w:p>
      <w:pPr>
        <w:pStyle w:val="6"/>
        <w:spacing w:before="160"/>
        <w:ind w:left="715"/>
        <w:rPr>
          <w:color w:val="auto"/>
          <w:highlight w:val="none"/>
        </w:rPr>
      </w:pPr>
      <w:bookmarkStart w:id="19" w:name="注：投标单位未按磋商采购文件要求附相关资质证件的，按废标处理。"/>
      <w:bookmarkEnd w:id="19"/>
      <w:r>
        <w:rPr>
          <w:color w:val="auto"/>
          <w:highlight w:val="none"/>
        </w:rPr>
        <w:t>注：投标单位未按磋商采购文件要求附相关资质证件的，按废标处理。</w:t>
      </w:r>
    </w:p>
    <w:p>
      <w:pPr>
        <w:spacing w:after="0"/>
        <w:rPr>
          <w:color w:val="auto"/>
          <w:highlight w:val="none"/>
        </w:rPr>
        <w:sectPr>
          <w:pgSz w:w="11910" w:h="16840"/>
          <w:pgMar w:top="1080" w:right="900" w:bottom="1200" w:left="900" w:header="0" w:footer="928" w:gutter="0"/>
        </w:sectPr>
      </w:pPr>
    </w:p>
    <w:p>
      <w:pPr>
        <w:spacing w:before="27"/>
        <w:ind w:left="0" w:right="4" w:firstLine="0"/>
        <w:jc w:val="center"/>
        <w:rPr>
          <w:b/>
          <w:color w:val="auto"/>
          <w:sz w:val="32"/>
          <w:highlight w:val="none"/>
        </w:rPr>
      </w:pPr>
      <w:r>
        <w:rPr>
          <w:b/>
          <w:color w:val="auto"/>
          <w:sz w:val="32"/>
          <w:highlight w:val="none"/>
        </w:rPr>
        <w:t>六、商务响应偏离表</w:t>
      </w:r>
    </w:p>
    <w:p>
      <w:pPr>
        <w:pStyle w:val="7"/>
        <w:ind w:left="0"/>
        <w:rPr>
          <w:b/>
          <w:color w:val="auto"/>
          <w:sz w:val="20"/>
          <w:highlight w:val="none"/>
        </w:rPr>
      </w:pPr>
    </w:p>
    <w:p>
      <w:pPr>
        <w:pStyle w:val="7"/>
        <w:spacing w:before="11"/>
        <w:ind w:left="0"/>
        <w:rPr>
          <w:b/>
          <w:color w:val="auto"/>
          <w:highlight w:val="none"/>
        </w:rPr>
      </w:pPr>
    </w:p>
    <w:tbl>
      <w:tblPr>
        <w:tblStyle w:val="10"/>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3010"/>
        <w:gridCol w:w="324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tcPr>
          <w:p>
            <w:pPr>
              <w:pStyle w:val="26"/>
              <w:spacing w:before="156"/>
              <w:ind w:left="199"/>
              <w:rPr>
                <w:color w:val="auto"/>
                <w:sz w:val="24"/>
                <w:highlight w:val="none"/>
              </w:rPr>
            </w:pPr>
            <w:r>
              <w:rPr>
                <w:color w:val="auto"/>
                <w:sz w:val="24"/>
                <w:highlight w:val="none"/>
              </w:rPr>
              <w:t>序号</w:t>
            </w:r>
          </w:p>
        </w:tc>
        <w:tc>
          <w:tcPr>
            <w:tcW w:w="3010" w:type="dxa"/>
          </w:tcPr>
          <w:p>
            <w:pPr>
              <w:pStyle w:val="26"/>
              <w:spacing w:before="156"/>
              <w:ind w:left="784"/>
              <w:rPr>
                <w:color w:val="auto"/>
                <w:sz w:val="24"/>
                <w:highlight w:val="none"/>
              </w:rPr>
            </w:pPr>
            <w:r>
              <w:rPr>
                <w:color w:val="auto"/>
                <w:sz w:val="24"/>
                <w:highlight w:val="none"/>
              </w:rPr>
              <w:t>磋商文件要求</w:t>
            </w:r>
          </w:p>
        </w:tc>
        <w:tc>
          <w:tcPr>
            <w:tcW w:w="3240" w:type="dxa"/>
          </w:tcPr>
          <w:p>
            <w:pPr>
              <w:pStyle w:val="26"/>
              <w:spacing w:before="156"/>
              <w:ind w:left="900"/>
              <w:rPr>
                <w:color w:val="auto"/>
                <w:sz w:val="24"/>
                <w:highlight w:val="none"/>
              </w:rPr>
            </w:pPr>
            <w:r>
              <w:rPr>
                <w:color w:val="auto"/>
                <w:sz w:val="24"/>
                <w:highlight w:val="none"/>
              </w:rPr>
              <w:t>投标文件响应</w:t>
            </w:r>
          </w:p>
        </w:tc>
        <w:tc>
          <w:tcPr>
            <w:tcW w:w="2340" w:type="dxa"/>
          </w:tcPr>
          <w:p>
            <w:pPr>
              <w:pStyle w:val="26"/>
              <w:tabs>
                <w:tab w:val="left" w:pos="490"/>
              </w:tabs>
              <w:spacing w:before="158"/>
              <w:ind w:left="10"/>
              <w:jc w:val="center"/>
              <w:rPr>
                <w:color w:val="auto"/>
                <w:sz w:val="24"/>
                <w:highlight w:val="none"/>
              </w:rPr>
            </w:pPr>
            <w:r>
              <w:rPr>
                <w:color w:val="auto"/>
                <w:sz w:val="24"/>
                <w:highlight w:val="none"/>
              </w:rPr>
              <w:t>备</w:t>
            </w:r>
            <w:r>
              <w:rPr>
                <w:color w:val="auto"/>
                <w:sz w:val="24"/>
                <w:highlight w:val="none"/>
              </w:rPr>
              <w:tab/>
            </w:r>
            <w:r>
              <w:rPr>
                <w:color w:val="auto"/>
                <w:sz w:val="24"/>
                <w:highlight w:val="none"/>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8" w:type="dxa"/>
            <w:tcBorders>
              <w:bottom w:val="single" w:color="000000" w:sz="6" w:space="0"/>
            </w:tcBorders>
          </w:tcPr>
          <w:p>
            <w:pPr>
              <w:pStyle w:val="26"/>
              <w:rPr>
                <w:rFonts w:ascii="Times New Roman"/>
                <w:color w:val="auto"/>
                <w:sz w:val="22"/>
                <w:highlight w:val="none"/>
              </w:rPr>
            </w:pPr>
          </w:p>
        </w:tc>
        <w:tc>
          <w:tcPr>
            <w:tcW w:w="3010" w:type="dxa"/>
            <w:tcBorders>
              <w:bottom w:val="single" w:color="000000" w:sz="6" w:space="0"/>
            </w:tcBorders>
          </w:tcPr>
          <w:p>
            <w:pPr>
              <w:pStyle w:val="26"/>
              <w:rPr>
                <w:rFonts w:ascii="Times New Roman"/>
                <w:color w:val="auto"/>
                <w:sz w:val="22"/>
                <w:highlight w:val="none"/>
              </w:rPr>
            </w:pPr>
          </w:p>
        </w:tc>
        <w:tc>
          <w:tcPr>
            <w:tcW w:w="3240" w:type="dxa"/>
            <w:tcBorders>
              <w:bottom w:val="single" w:color="000000" w:sz="6" w:space="0"/>
            </w:tcBorders>
          </w:tcPr>
          <w:p>
            <w:pPr>
              <w:pStyle w:val="26"/>
              <w:rPr>
                <w:rFonts w:ascii="Times New Roman"/>
                <w:color w:val="auto"/>
                <w:sz w:val="22"/>
                <w:highlight w:val="none"/>
              </w:rPr>
            </w:pPr>
          </w:p>
        </w:tc>
        <w:tc>
          <w:tcPr>
            <w:tcW w:w="2340" w:type="dxa"/>
            <w:tcBorders>
              <w:bottom w:val="single" w:color="000000" w:sz="6" w:space="0"/>
            </w:tcBorders>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Borders>
              <w:top w:val="single" w:color="000000" w:sz="6" w:space="0"/>
            </w:tcBorders>
          </w:tcPr>
          <w:p>
            <w:pPr>
              <w:pStyle w:val="26"/>
              <w:rPr>
                <w:rFonts w:ascii="Times New Roman"/>
                <w:color w:val="auto"/>
                <w:sz w:val="22"/>
                <w:highlight w:val="none"/>
              </w:rPr>
            </w:pPr>
          </w:p>
        </w:tc>
        <w:tc>
          <w:tcPr>
            <w:tcW w:w="3010" w:type="dxa"/>
            <w:tcBorders>
              <w:top w:val="single" w:color="000000" w:sz="6" w:space="0"/>
            </w:tcBorders>
          </w:tcPr>
          <w:p>
            <w:pPr>
              <w:pStyle w:val="26"/>
              <w:rPr>
                <w:rFonts w:ascii="Times New Roman"/>
                <w:color w:val="auto"/>
                <w:sz w:val="22"/>
                <w:highlight w:val="none"/>
              </w:rPr>
            </w:pPr>
          </w:p>
        </w:tc>
        <w:tc>
          <w:tcPr>
            <w:tcW w:w="3240" w:type="dxa"/>
            <w:tcBorders>
              <w:top w:val="single" w:color="000000" w:sz="6" w:space="0"/>
            </w:tcBorders>
          </w:tcPr>
          <w:p>
            <w:pPr>
              <w:pStyle w:val="26"/>
              <w:rPr>
                <w:rFonts w:ascii="Times New Roman"/>
                <w:color w:val="auto"/>
                <w:sz w:val="22"/>
                <w:highlight w:val="none"/>
              </w:rPr>
            </w:pPr>
          </w:p>
        </w:tc>
        <w:tc>
          <w:tcPr>
            <w:tcW w:w="2340" w:type="dxa"/>
            <w:tcBorders>
              <w:top w:val="single" w:color="000000" w:sz="6" w:space="0"/>
            </w:tcBorders>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26"/>
              <w:rPr>
                <w:rFonts w:ascii="Times New Roman"/>
                <w:color w:val="auto"/>
                <w:sz w:val="22"/>
                <w:highlight w:val="none"/>
              </w:rPr>
            </w:pPr>
          </w:p>
        </w:tc>
        <w:tc>
          <w:tcPr>
            <w:tcW w:w="3010" w:type="dxa"/>
          </w:tcPr>
          <w:p>
            <w:pPr>
              <w:pStyle w:val="26"/>
              <w:rPr>
                <w:rFonts w:ascii="Times New Roman"/>
                <w:color w:val="auto"/>
                <w:sz w:val="22"/>
                <w:highlight w:val="none"/>
              </w:rPr>
            </w:pPr>
          </w:p>
        </w:tc>
        <w:tc>
          <w:tcPr>
            <w:tcW w:w="3240" w:type="dxa"/>
          </w:tcPr>
          <w:p>
            <w:pPr>
              <w:pStyle w:val="26"/>
              <w:rPr>
                <w:rFonts w:ascii="Times New Roman"/>
                <w:color w:val="auto"/>
                <w:sz w:val="22"/>
                <w:highlight w:val="none"/>
              </w:rPr>
            </w:pPr>
          </w:p>
        </w:tc>
        <w:tc>
          <w:tcPr>
            <w:tcW w:w="2340" w:type="dxa"/>
          </w:tcPr>
          <w:p>
            <w:pPr>
              <w:pStyle w:val="26"/>
              <w:rPr>
                <w:rFonts w:ascii="Times New Roman"/>
                <w:color w:val="auto"/>
                <w:sz w:val="22"/>
                <w:highlight w:val="none"/>
              </w:rPr>
            </w:pPr>
          </w:p>
        </w:tc>
      </w:tr>
    </w:tbl>
    <w:p>
      <w:pPr>
        <w:pStyle w:val="7"/>
        <w:spacing w:before="9"/>
        <w:ind w:left="0"/>
        <w:rPr>
          <w:b/>
          <w:color w:val="auto"/>
          <w:sz w:val="36"/>
          <w:highlight w:val="none"/>
        </w:rPr>
      </w:pPr>
    </w:p>
    <w:p>
      <w:pPr>
        <w:pStyle w:val="7"/>
        <w:tabs>
          <w:tab w:val="left" w:pos="6029"/>
        </w:tabs>
        <w:ind w:left="574"/>
        <w:rPr>
          <w:rFonts w:ascii="Times New Roman" w:eastAsia="Times New Roman"/>
          <w:color w:val="auto"/>
          <w:highlight w:val="none"/>
        </w:rPr>
      </w:pPr>
      <w:r>
        <w:rPr>
          <w:color w:val="auto"/>
          <w:highlight w:val="none"/>
        </w:rPr>
        <w:t>法定代表人或被授权代表签字：</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tabs>
          <w:tab w:val="left" w:pos="6029"/>
        </w:tabs>
        <w:ind w:left="574"/>
        <w:rPr>
          <w:color w:val="auto"/>
          <w:highlight w:val="none"/>
        </w:rPr>
      </w:pPr>
      <w:r>
        <w:rPr>
          <w:rFonts w:hint="eastAsia"/>
          <w:color w:val="auto"/>
          <w:highlight w:val="none"/>
        </w:rPr>
        <w:t>投 标 单 位 公 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ind w:left="0" w:firstLine="520" w:firstLineChars="200"/>
        <w:rPr>
          <w:rFonts w:hint="default" w:ascii="Times New Roman" w:eastAsia="宋体"/>
          <w:color w:val="auto"/>
          <w:sz w:val="26"/>
          <w:highlight w:val="none"/>
          <w:lang w:val="en-US" w:eastAsia="zh-CN"/>
        </w:rPr>
      </w:pPr>
      <w:r>
        <w:rPr>
          <w:rFonts w:hint="eastAsia" w:ascii="Times New Roman"/>
          <w:color w:val="auto"/>
          <w:sz w:val="26"/>
          <w:highlight w:val="none"/>
        </w:rPr>
        <w:t xml:space="preserve">日 </w:t>
      </w:r>
      <w:r>
        <w:rPr>
          <w:rFonts w:hint="eastAsia" w:ascii="Times New Roman"/>
          <w:color w:val="auto"/>
          <w:sz w:val="26"/>
          <w:highlight w:val="none"/>
          <w:lang w:val="en-US" w:eastAsia="zh-CN"/>
        </w:rPr>
        <w:t xml:space="preserve">                       </w:t>
      </w:r>
      <w:r>
        <w:rPr>
          <w:rFonts w:hint="eastAsia" w:ascii="Times New Roman"/>
          <w:color w:val="auto"/>
          <w:sz w:val="26"/>
          <w:highlight w:val="none"/>
        </w:rPr>
        <w:t>期：</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Times New Roman" w:eastAsia="宋体"/>
          <w:color w:val="auto"/>
          <w:highlight w:val="none"/>
          <w:u w:val="single"/>
          <w:lang w:val="en-US" w:eastAsia="zh-CN"/>
        </w:rPr>
        <w:t xml:space="preserve">                                        </w:t>
      </w:r>
    </w:p>
    <w:p>
      <w:pPr>
        <w:pStyle w:val="7"/>
        <w:spacing w:before="4"/>
        <w:ind w:left="0"/>
        <w:rPr>
          <w:rFonts w:hint="eastAsia" w:ascii="Times New Roman" w:eastAsia="楷体"/>
          <w:color w:val="auto"/>
          <w:sz w:val="23"/>
          <w:highlight w:val="none"/>
          <w:lang w:val="en-US" w:eastAsia="zh-CN"/>
        </w:rPr>
      </w:pPr>
      <w:r>
        <w:rPr>
          <w:rFonts w:hint="eastAsia" w:ascii="Times New Roman"/>
          <w:color w:val="auto"/>
          <w:sz w:val="23"/>
          <w:highlight w:val="none"/>
          <w:lang w:val="en-US" w:eastAsia="zh-CN"/>
        </w:rPr>
        <w:t xml:space="preserve"> </w:t>
      </w:r>
    </w:p>
    <w:p>
      <w:pPr>
        <w:pStyle w:val="7"/>
        <w:spacing w:before="1" w:line="405" w:lineRule="auto"/>
        <w:ind w:left="574" w:right="230"/>
        <w:rPr>
          <w:color w:val="auto"/>
          <w:highlight w:val="none"/>
        </w:rPr>
      </w:pPr>
      <w:r>
        <w:rPr>
          <w:color w:val="auto"/>
          <w:spacing w:val="-9"/>
          <w:highlight w:val="none"/>
        </w:rPr>
        <w:t>注：根据工期、付款、验收、商务条款及合同条款等要求，此表在不改变表式的情况下可</w:t>
      </w:r>
      <w:r>
        <w:rPr>
          <w:color w:val="auto"/>
          <w:highlight w:val="none"/>
        </w:rPr>
        <w:t>自行制作。</w:t>
      </w:r>
    </w:p>
    <w:p>
      <w:pPr>
        <w:spacing w:after="0" w:line="405" w:lineRule="auto"/>
        <w:rPr>
          <w:color w:val="auto"/>
          <w:highlight w:val="none"/>
        </w:rPr>
        <w:sectPr>
          <w:pgSz w:w="11910" w:h="16840"/>
          <w:pgMar w:top="1120" w:right="900" w:bottom="1200" w:left="900" w:header="0" w:footer="928" w:gutter="0"/>
        </w:sectPr>
      </w:pPr>
    </w:p>
    <w:p>
      <w:pPr>
        <w:pStyle w:val="3"/>
        <w:ind w:left="1021" w:right="859"/>
        <w:rPr>
          <w:color w:val="auto"/>
          <w:highlight w:val="none"/>
        </w:rPr>
      </w:pPr>
      <w:r>
        <w:rPr>
          <w:color w:val="auto"/>
          <w:highlight w:val="none"/>
        </w:rPr>
        <w:t>七、投标方案</w:t>
      </w:r>
    </w:p>
    <w:p>
      <w:pPr>
        <w:pStyle w:val="25"/>
        <w:numPr>
          <w:ilvl w:val="0"/>
          <w:numId w:val="38"/>
        </w:numPr>
        <w:tabs>
          <w:tab w:val="left" w:pos="1075"/>
        </w:tabs>
        <w:spacing w:before="189" w:after="0" w:line="364" w:lineRule="auto"/>
        <w:ind w:left="232" w:right="151" w:firstLine="480"/>
        <w:jc w:val="left"/>
        <w:rPr>
          <w:color w:val="auto"/>
          <w:sz w:val="24"/>
          <w:highlight w:val="none"/>
        </w:rPr>
      </w:pPr>
      <w:bookmarkStart w:id="20" w:name="1．投标人编制施工组织设计的要求：编制时应采用文字并结合图表形式说明施工方法；拟"/>
      <w:bookmarkEnd w:id="20"/>
      <w:bookmarkStart w:id="21" w:name="1．投标人编制施工组织设计的要求：编制时应采用文字并结合图表形式说明施工方法；拟"/>
      <w:bookmarkEnd w:id="21"/>
      <w:r>
        <w:rPr>
          <w:color w:val="auto"/>
          <w:spacing w:val="-1"/>
          <w:sz w:val="24"/>
          <w:highlight w:val="none"/>
        </w:rPr>
        <w:t xml:space="preserve">投标人编制施工组织设计的要求：编制时应采用文字并结合图表形式说明施工方法； </w:t>
      </w:r>
      <w:r>
        <w:rPr>
          <w:color w:val="auto"/>
          <w:sz w:val="24"/>
          <w:highlight w:val="none"/>
        </w:rPr>
        <w:t>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25"/>
        <w:numPr>
          <w:ilvl w:val="0"/>
          <w:numId w:val="38"/>
        </w:numPr>
        <w:tabs>
          <w:tab w:val="left" w:pos="1075"/>
        </w:tabs>
        <w:spacing w:before="3" w:after="0" w:line="302" w:lineRule="auto"/>
        <w:ind w:left="953" w:right="4711" w:hanging="240"/>
        <w:jc w:val="left"/>
        <w:rPr>
          <w:color w:val="auto"/>
          <w:sz w:val="24"/>
          <w:highlight w:val="none"/>
        </w:rPr>
      </w:pPr>
      <w:bookmarkStart w:id="22" w:name="2．编制顺序（根据磋商文件评审标准编制）"/>
      <w:bookmarkEnd w:id="22"/>
      <w:bookmarkStart w:id="23" w:name="2．编制顺序（根据磋商文件评审标准编制）"/>
      <w:bookmarkEnd w:id="23"/>
      <w:r>
        <w:rPr>
          <w:color w:val="auto"/>
          <w:sz w:val="24"/>
          <w:highlight w:val="none"/>
        </w:rPr>
        <w:t>编制顺序（根据磋商文件评审标准编制</w:t>
      </w:r>
      <w:r>
        <w:rPr>
          <w:color w:val="auto"/>
          <w:spacing w:val="-18"/>
          <w:sz w:val="24"/>
          <w:highlight w:val="none"/>
        </w:rPr>
        <w:t xml:space="preserve">） </w:t>
      </w:r>
      <w:r>
        <w:rPr>
          <w:color w:val="auto"/>
          <w:sz w:val="24"/>
          <w:highlight w:val="none"/>
        </w:rPr>
        <w:t>投标方案</w:t>
      </w:r>
    </w:p>
    <w:p>
      <w:pPr>
        <w:pStyle w:val="25"/>
        <w:numPr>
          <w:ilvl w:val="1"/>
          <w:numId w:val="38"/>
        </w:numPr>
        <w:tabs>
          <w:tab w:val="left" w:pos="1075"/>
        </w:tabs>
        <w:spacing w:before="5" w:after="0" w:line="240" w:lineRule="auto"/>
        <w:ind w:left="1074" w:right="0" w:hanging="362"/>
        <w:jc w:val="left"/>
        <w:rPr>
          <w:color w:val="auto"/>
          <w:sz w:val="24"/>
          <w:highlight w:val="none"/>
        </w:rPr>
      </w:pPr>
      <w:bookmarkStart w:id="24" w:name="2.1① 确保工程质量的技术组织措施"/>
      <w:bookmarkEnd w:id="24"/>
      <w:bookmarkStart w:id="25" w:name="2.1① 确保工程质量的技术组织措施"/>
      <w:bookmarkEnd w:id="25"/>
      <w:r>
        <w:rPr>
          <w:color w:val="auto"/>
          <w:spacing w:val="-1"/>
          <w:sz w:val="24"/>
          <w:highlight w:val="none"/>
        </w:rPr>
        <w:t>① 确保工程质量的技术组织措施</w:t>
      </w:r>
    </w:p>
    <w:p>
      <w:pPr>
        <w:pStyle w:val="7"/>
        <w:spacing w:before="161"/>
        <w:ind w:left="713"/>
        <w:rPr>
          <w:color w:val="auto"/>
          <w:highlight w:val="none"/>
        </w:rPr>
      </w:pPr>
      <w:bookmarkStart w:id="26" w:name="② 确保安全生产的技术组织措施"/>
      <w:bookmarkEnd w:id="26"/>
      <w:r>
        <w:rPr>
          <w:color w:val="auto"/>
          <w:highlight w:val="none"/>
        </w:rPr>
        <w:t>② 确保安全生产的技术组织措施</w:t>
      </w:r>
    </w:p>
    <w:p>
      <w:pPr>
        <w:pStyle w:val="7"/>
        <w:spacing w:before="160"/>
        <w:ind w:left="713"/>
        <w:rPr>
          <w:color w:val="auto"/>
          <w:highlight w:val="none"/>
        </w:rPr>
      </w:pPr>
      <w:bookmarkStart w:id="27" w:name="③ 确保文明施工技术组织措施及环境保护措施"/>
      <w:bookmarkEnd w:id="27"/>
      <w:r>
        <w:rPr>
          <w:color w:val="auto"/>
          <w:highlight w:val="none"/>
        </w:rPr>
        <w:t>③ 确保文明施工技术组织措施及环境保护措施</w:t>
      </w:r>
    </w:p>
    <w:p>
      <w:pPr>
        <w:pStyle w:val="7"/>
        <w:spacing w:before="161"/>
        <w:ind w:left="713"/>
        <w:rPr>
          <w:color w:val="auto"/>
          <w:highlight w:val="none"/>
        </w:rPr>
      </w:pPr>
      <w:bookmarkStart w:id="28" w:name="④ 确保工期的技术组织措施"/>
      <w:bookmarkEnd w:id="28"/>
      <w:r>
        <w:rPr>
          <w:color w:val="auto"/>
          <w:highlight w:val="none"/>
        </w:rPr>
        <w:t>④ 确保工期的技术组织措施</w:t>
      </w:r>
    </w:p>
    <w:p>
      <w:pPr>
        <w:pStyle w:val="7"/>
        <w:spacing w:before="160"/>
        <w:ind w:left="713"/>
        <w:rPr>
          <w:color w:val="auto"/>
          <w:highlight w:val="none"/>
        </w:rPr>
      </w:pPr>
      <w:bookmarkStart w:id="29" w:name="⑤ 施工方案和项目部组成人员"/>
      <w:bookmarkEnd w:id="29"/>
      <w:r>
        <w:rPr>
          <w:color w:val="auto"/>
          <w:highlight w:val="none"/>
        </w:rPr>
        <w:t>⑤ 施工方案和项目部组成人员</w:t>
      </w:r>
    </w:p>
    <w:p>
      <w:pPr>
        <w:pStyle w:val="7"/>
        <w:spacing w:before="161"/>
        <w:ind w:left="713"/>
        <w:rPr>
          <w:color w:val="auto"/>
          <w:highlight w:val="none"/>
        </w:rPr>
      </w:pPr>
      <w:bookmarkStart w:id="30" w:name="⑥ 施工机械配备和材料投入计划"/>
      <w:bookmarkEnd w:id="30"/>
      <w:r>
        <w:rPr>
          <w:color w:val="auto"/>
          <w:highlight w:val="none"/>
        </w:rPr>
        <w:t>⑥ 施工机械配备和材料投入计划</w:t>
      </w:r>
    </w:p>
    <w:p>
      <w:pPr>
        <w:pStyle w:val="7"/>
        <w:spacing w:before="160"/>
        <w:ind w:left="713"/>
        <w:rPr>
          <w:color w:val="auto"/>
          <w:highlight w:val="none"/>
        </w:rPr>
      </w:pPr>
      <w:bookmarkStart w:id="31" w:name="⑦ 施工进度表或施工网络图"/>
      <w:bookmarkEnd w:id="31"/>
      <w:r>
        <w:rPr>
          <w:color w:val="auto"/>
          <w:highlight w:val="none"/>
        </w:rPr>
        <w:t>⑦ 施工进度表或施工网络图</w:t>
      </w:r>
    </w:p>
    <w:p>
      <w:pPr>
        <w:pStyle w:val="7"/>
        <w:spacing w:before="161"/>
        <w:ind w:left="713"/>
        <w:rPr>
          <w:color w:val="auto"/>
          <w:highlight w:val="none"/>
        </w:rPr>
      </w:pPr>
      <w:bookmarkStart w:id="32" w:name="⑧ 劳动力安排计划及劳务分包情况表"/>
      <w:bookmarkEnd w:id="32"/>
      <w:r>
        <w:rPr>
          <w:color w:val="auto"/>
          <w:highlight w:val="none"/>
        </w:rPr>
        <w:t>⑧ 劳动力安排计划及劳务分包情况表</w:t>
      </w:r>
    </w:p>
    <w:p>
      <w:pPr>
        <w:pStyle w:val="7"/>
        <w:spacing w:before="160"/>
        <w:ind w:left="713"/>
        <w:rPr>
          <w:color w:val="auto"/>
          <w:highlight w:val="none"/>
        </w:rPr>
      </w:pPr>
      <w:bookmarkStart w:id="33" w:name="⑨ 新技术、新产品、新工艺、新材料应用。"/>
      <w:bookmarkEnd w:id="33"/>
      <w:r>
        <w:rPr>
          <w:color w:val="auto"/>
          <w:highlight w:val="none"/>
        </w:rPr>
        <w:t>⑨ 新技术、新产品、新工艺、新材料应用。</w:t>
      </w:r>
    </w:p>
    <w:p>
      <w:pPr>
        <w:pStyle w:val="25"/>
        <w:numPr>
          <w:ilvl w:val="0"/>
          <w:numId w:val="38"/>
        </w:numPr>
        <w:tabs>
          <w:tab w:val="left" w:pos="1075"/>
        </w:tabs>
        <w:spacing w:before="161" w:after="0" w:line="364" w:lineRule="auto"/>
        <w:ind w:left="713" w:right="1591" w:firstLine="0"/>
        <w:jc w:val="left"/>
        <w:rPr>
          <w:color w:val="auto"/>
          <w:sz w:val="24"/>
          <w:highlight w:val="none"/>
        </w:rPr>
      </w:pPr>
      <w:bookmarkStart w:id="34" w:name="3．施工组织设计除采用文字表述外可附下列图表，图表及格式要求附后。"/>
      <w:bookmarkEnd w:id="34"/>
      <w:bookmarkStart w:id="35" w:name="3．施工组织设计除采用文字表述外可附下列图表，图表及格式要求附后。"/>
      <w:bookmarkEnd w:id="35"/>
      <w:r>
        <w:rPr>
          <w:color w:val="auto"/>
          <w:spacing w:val="-1"/>
          <w:sz w:val="24"/>
          <w:highlight w:val="none"/>
        </w:rPr>
        <w:t>施工组织设计除采用文字表述外可附下列图表，图表及格式要求附后。</w:t>
      </w:r>
      <w:bookmarkStart w:id="36" w:name="附表1：拟投入本项目的主要施工设备表"/>
      <w:bookmarkEnd w:id="36"/>
      <w:r>
        <w:rPr>
          <w:color w:val="auto"/>
          <w:spacing w:val="-21"/>
          <w:sz w:val="24"/>
          <w:highlight w:val="none"/>
        </w:rPr>
        <w:t xml:space="preserve">附表 </w:t>
      </w:r>
      <w:r>
        <w:rPr>
          <w:color w:val="auto"/>
          <w:sz w:val="24"/>
          <w:highlight w:val="none"/>
        </w:rPr>
        <w:t>1：拟投入本项目的主要施工设备表</w:t>
      </w:r>
    </w:p>
    <w:p>
      <w:pPr>
        <w:pStyle w:val="7"/>
        <w:spacing w:before="2"/>
        <w:ind w:left="713"/>
        <w:rPr>
          <w:color w:val="auto"/>
          <w:highlight w:val="none"/>
        </w:rPr>
      </w:pPr>
      <w:bookmarkStart w:id="37" w:name="附表2：劳动力计划表"/>
      <w:bookmarkEnd w:id="37"/>
      <w:r>
        <w:rPr>
          <w:color w:val="auto"/>
          <w:spacing w:val="-21"/>
          <w:highlight w:val="none"/>
        </w:rPr>
        <w:t xml:space="preserve">附表 </w:t>
      </w:r>
      <w:r>
        <w:rPr>
          <w:color w:val="auto"/>
          <w:highlight w:val="none"/>
        </w:rPr>
        <w:t>2：劳动力计划表</w:t>
      </w:r>
    </w:p>
    <w:p>
      <w:pPr>
        <w:pStyle w:val="7"/>
        <w:spacing w:before="160" w:line="364" w:lineRule="auto"/>
        <w:ind w:left="713" w:right="4651"/>
        <w:rPr>
          <w:color w:val="auto"/>
          <w:highlight w:val="none"/>
        </w:rPr>
      </w:pPr>
      <w:bookmarkStart w:id="38" w:name="附表3：计划开、竣工日期和施工进度网络图"/>
      <w:bookmarkEnd w:id="38"/>
      <w:r>
        <w:rPr>
          <w:color w:val="auto"/>
          <w:spacing w:val="-21"/>
          <w:highlight w:val="none"/>
        </w:rPr>
        <w:t xml:space="preserve">附表 </w:t>
      </w:r>
      <w:r>
        <w:rPr>
          <w:color w:val="auto"/>
          <w:highlight w:val="none"/>
        </w:rPr>
        <w:t>3：</w:t>
      </w:r>
      <w:r>
        <w:rPr>
          <w:color w:val="auto"/>
          <w:spacing w:val="-2"/>
          <w:highlight w:val="none"/>
        </w:rPr>
        <w:t>计划开、竣工日期和施工进度网络图</w:t>
      </w:r>
      <w:bookmarkStart w:id="39" w:name="附表4：施工总平面图"/>
      <w:bookmarkEnd w:id="39"/>
      <w:r>
        <w:rPr>
          <w:color w:val="auto"/>
          <w:spacing w:val="-21"/>
          <w:highlight w:val="none"/>
        </w:rPr>
        <w:t xml:space="preserve">附表 </w:t>
      </w:r>
      <w:r>
        <w:rPr>
          <w:color w:val="auto"/>
          <w:highlight w:val="none"/>
        </w:rPr>
        <w:t>4：施工总平面图</w:t>
      </w:r>
    </w:p>
    <w:p>
      <w:pPr>
        <w:pStyle w:val="7"/>
        <w:spacing w:before="1"/>
        <w:ind w:left="713"/>
        <w:rPr>
          <w:color w:val="auto"/>
          <w:highlight w:val="none"/>
        </w:rPr>
      </w:pPr>
      <w:bookmarkStart w:id="40" w:name="附表5：项目管理机构组成"/>
      <w:bookmarkEnd w:id="40"/>
      <w:r>
        <w:rPr>
          <w:color w:val="auto"/>
          <w:highlight w:val="none"/>
        </w:rPr>
        <w:t>附表 5：项目管理机构组成</w:t>
      </w:r>
    </w:p>
    <w:p>
      <w:pPr>
        <w:spacing w:after="0"/>
        <w:rPr>
          <w:color w:val="auto"/>
          <w:highlight w:val="none"/>
        </w:rPr>
        <w:sectPr>
          <w:pgSz w:w="11910" w:h="16840"/>
          <w:pgMar w:top="1180" w:right="900" w:bottom="1200" w:left="900" w:header="0" w:footer="928" w:gutter="0"/>
        </w:sectPr>
      </w:pPr>
    </w:p>
    <w:p>
      <w:pPr>
        <w:pStyle w:val="6"/>
        <w:spacing w:before="53"/>
        <w:ind w:left="0"/>
        <w:jc w:val="center"/>
        <w:rPr>
          <w:color w:val="auto"/>
          <w:highlight w:val="none"/>
        </w:rPr>
      </w:pPr>
      <w:bookmarkStart w:id="41" w:name="附表1：拟投入本项目的主要施工设备表"/>
      <w:bookmarkEnd w:id="41"/>
      <w:r>
        <w:rPr>
          <w:color w:val="auto"/>
          <w:highlight w:val="none"/>
        </w:rPr>
        <w:t>附表 1：拟投入本项目的主要施工设备表</w:t>
      </w:r>
    </w:p>
    <w:p>
      <w:pPr>
        <w:pStyle w:val="7"/>
        <w:spacing w:before="5"/>
        <w:ind w:left="0"/>
        <w:rPr>
          <w:b/>
          <w:color w:val="auto"/>
          <w:sz w:val="6"/>
          <w:highlight w:val="none"/>
        </w:rPr>
      </w:pPr>
    </w:p>
    <w:tbl>
      <w:tblPr>
        <w:tblStyle w:val="10"/>
        <w:tblW w:w="0" w:type="auto"/>
        <w:tblInd w:w="5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5"/>
        <w:gridCol w:w="1099"/>
        <w:gridCol w:w="734"/>
        <w:gridCol w:w="756"/>
        <w:gridCol w:w="753"/>
        <w:gridCol w:w="1000"/>
        <w:gridCol w:w="1216"/>
        <w:gridCol w:w="848"/>
        <w:gridCol w:w="997"/>
        <w:gridCol w:w="9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1" w:hRule="atLeast"/>
        </w:trPr>
        <w:tc>
          <w:tcPr>
            <w:tcW w:w="665" w:type="dxa"/>
            <w:tcBorders>
              <w:bottom w:val="single" w:color="000000" w:sz="4" w:space="0"/>
              <w:right w:val="single" w:color="000000" w:sz="4" w:space="0"/>
            </w:tcBorders>
          </w:tcPr>
          <w:p>
            <w:pPr>
              <w:pStyle w:val="26"/>
              <w:spacing w:before="55" w:line="242" w:lineRule="auto"/>
              <w:ind w:left="213" w:right="191"/>
              <w:rPr>
                <w:color w:val="auto"/>
                <w:sz w:val="24"/>
                <w:highlight w:val="none"/>
              </w:rPr>
            </w:pPr>
            <w:r>
              <w:rPr>
                <w:color w:val="auto"/>
                <w:sz w:val="24"/>
                <w:highlight w:val="none"/>
              </w:rPr>
              <w:t>序号</w:t>
            </w:r>
          </w:p>
        </w:tc>
        <w:tc>
          <w:tcPr>
            <w:tcW w:w="1099" w:type="dxa"/>
            <w:tcBorders>
              <w:left w:val="single" w:color="000000" w:sz="4" w:space="0"/>
              <w:bottom w:val="single" w:color="000000" w:sz="4" w:space="0"/>
              <w:right w:val="single" w:color="000000" w:sz="4" w:space="0"/>
            </w:tcBorders>
          </w:tcPr>
          <w:p>
            <w:pPr>
              <w:pStyle w:val="26"/>
              <w:spacing w:before="55" w:line="242" w:lineRule="auto"/>
              <w:ind w:left="438" w:right="168" w:hanging="240"/>
              <w:rPr>
                <w:color w:val="auto"/>
                <w:sz w:val="24"/>
                <w:highlight w:val="none"/>
              </w:rPr>
            </w:pPr>
            <w:r>
              <w:rPr>
                <w:color w:val="auto"/>
                <w:sz w:val="24"/>
                <w:highlight w:val="none"/>
              </w:rPr>
              <w:t>设备名称</w:t>
            </w:r>
          </w:p>
        </w:tc>
        <w:tc>
          <w:tcPr>
            <w:tcW w:w="734" w:type="dxa"/>
            <w:tcBorders>
              <w:left w:val="single" w:color="000000" w:sz="4" w:space="0"/>
              <w:bottom w:val="single" w:color="000000" w:sz="4" w:space="0"/>
              <w:right w:val="single" w:color="000000" w:sz="4" w:space="0"/>
            </w:tcBorders>
          </w:tcPr>
          <w:p>
            <w:pPr>
              <w:pStyle w:val="26"/>
              <w:spacing w:before="55" w:line="242" w:lineRule="auto"/>
              <w:ind w:left="136" w:right="105"/>
              <w:rPr>
                <w:color w:val="auto"/>
                <w:sz w:val="24"/>
                <w:highlight w:val="none"/>
              </w:rPr>
            </w:pPr>
            <w:r>
              <w:rPr>
                <w:color w:val="auto"/>
                <w:sz w:val="24"/>
                <w:highlight w:val="none"/>
              </w:rPr>
              <w:t>型号规格</w:t>
            </w:r>
          </w:p>
        </w:tc>
        <w:tc>
          <w:tcPr>
            <w:tcW w:w="756" w:type="dxa"/>
            <w:tcBorders>
              <w:left w:val="single" w:color="000000" w:sz="4" w:space="0"/>
              <w:bottom w:val="single" w:color="000000" w:sz="4" w:space="0"/>
              <w:right w:val="single" w:color="000000" w:sz="4" w:space="0"/>
            </w:tcBorders>
          </w:tcPr>
          <w:p>
            <w:pPr>
              <w:pStyle w:val="26"/>
              <w:spacing w:before="211"/>
              <w:ind w:left="149"/>
              <w:rPr>
                <w:color w:val="auto"/>
                <w:sz w:val="24"/>
                <w:highlight w:val="none"/>
              </w:rPr>
            </w:pPr>
            <w:r>
              <w:rPr>
                <w:color w:val="auto"/>
                <w:sz w:val="24"/>
                <w:highlight w:val="none"/>
              </w:rPr>
              <w:t>数量</w:t>
            </w:r>
          </w:p>
        </w:tc>
        <w:tc>
          <w:tcPr>
            <w:tcW w:w="753" w:type="dxa"/>
            <w:tcBorders>
              <w:left w:val="single" w:color="000000" w:sz="4" w:space="0"/>
              <w:bottom w:val="single" w:color="000000" w:sz="4" w:space="0"/>
              <w:right w:val="single" w:color="000000" w:sz="4" w:space="0"/>
            </w:tcBorders>
          </w:tcPr>
          <w:p>
            <w:pPr>
              <w:pStyle w:val="26"/>
              <w:spacing w:before="55" w:line="242" w:lineRule="auto"/>
              <w:ind w:left="147" w:right="113"/>
              <w:rPr>
                <w:color w:val="auto"/>
                <w:sz w:val="24"/>
                <w:highlight w:val="none"/>
              </w:rPr>
            </w:pPr>
            <w:r>
              <w:rPr>
                <w:color w:val="auto"/>
                <w:sz w:val="24"/>
                <w:highlight w:val="none"/>
              </w:rPr>
              <w:t>国别产地</w:t>
            </w:r>
          </w:p>
        </w:tc>
        <w:tc>
          <w:tcPr>
            <w:tcW w:w="1000" w:type="dxa"/>
            <w:tcBorders>
              <w:left w:val="single" w:color="000000" w:sz="4" w:space="0"/>
              <w:bottom w:val="single" w:color="000000" w:sz="4" w:space="0"/>
              <w:right w:val="single" w:color="000000" w:sz="4" w:space="0"/>
            </w:tcBorders>
          </w:tcPr>
          <w:p>
            <w:pPr>
              <w:pStyle w:val="26"/>
              <w:spacing w:before="55" w:line="242" w:lineRule="auto"/>
              <w:ind w:left="272" w:right="235"/>
              <w:rPr>
                <w:color w:val="auto"/>
                <w:sz w:val="24"/>
                <w:highlight w:val="none"/>
              </w:rPr>
            </w:pPr>
            <w:r>
              <w:rPr>
                <w:color w:val="auto"/>
                <w:sz w:val="24"/>
                <w:highlight w:val="none"/>
              </w:rPr>
              <w:t>制造年份</w:t>
            </w:r>
          </w:p>
        </w:tc>
        <w:tc>
          <w:tcPr>
            <w:tcW w:w="1216" w:type="dxa"/>
            <w:tcBorders>
              <w:left w:val="single" w:color="000000" w:sz="4" w:space="0"/>
              <w:bottom w:val="single" w:color="000000" w:sz="4" w:space="0"/>
              <w:right w:val="single" w:color="000000" w:sz="4" w:space="0"/>
            </w:tcBorders>
          </w:tcPr>
          <w:p>
            <w:pPr>
              <w:pStyle w:val="26"/>
              <w:spacing w:before="55"/>
              <w:ind w:left="138"/>
              <w:rPr>
                <w:color w:val="auto"/>
                <w:sz w:val="24"/>
                <w:highlight w:val="none"/>
              </w:rPr>
            </w:pPr>
            <w:r>
              <w:rPr>
                <w:color w:val="auto"/>
                <w:sz w:val="24"/>
                <w:highlight w:val="none"/>
              </w:rPr>
              <w:t>额定功率</w:t>
            </w:r>
          </w:p>
          <w:p>
            <w:pPr>
              <w:pStyle w:val="26"/>
              <w:spacing w:before="4"/>
              <w:ind w:left="138"/>
              <w:rPr>
                <w:color w:val="auto"/>
                <w:sz w:val="24"/>
                <w:highlight w:val="none"/>
              </w:rPr>
            </w:pPr>
            <w:r>
              <w:rPr>
                <w:color w:val="auto"/>
                <w:sz w:val="24"/>
                <w:highlight w:val="none"/>
              </w:rPr>
              <w:t>（ KW ）</w:t>
            </w:r>
          </w:p>
        </w:tc>
        <w:tc>
          <w:tcPr>
            <w:tcW w:w="848" w:type="dxa"/>
            <w:tcBorders>
              <w:left w:val="single" w:color="000000" w:sz="4" w:space="0"/>
              <w:bottom w:val="single" w:color="000000" w:sz="4" w:space="0"/>
              <w:right w:val="single" w:color="000000" w:sz="4" w:space="0"/>
            </w:tcBorders>
          </w:tcPr>
          <w:p>
            <w:pPr>
              <w:pStyle w:val="26"/>
              <w:spacing w:before="55" w:line="242" w:lineRule="auto"/>
              <w:ind w:left="197" w:right="158"/>
              <w:rPr>
                <w:color w:val="auto"/>
                <w:sz w:val="24"/>
                <w:highlight w:val="none"/>
              </w:rPr>
            </w:pPr>
            <w:r>
              <w:rPr>
                <w:color w:val="auto"/>
                <w:sz w:val="24"/>
                <w:highlight w:val="none"/>
              </w:rPr>
              <w:t>生产能力</w:t>
            </w:r>
          </w:p>
        </w:tc>
        <w:tc>
          <w:tcPr>
            <w:tcW w:w="997" w:type="dxa"/>
            <w:tcBorders>
              <w:left w:val="single" w:color="000000" w:sz="4" w:space="0"/>
              <w:bottom w:val="single" w:color="000000" w:sz="4" w:space="0"/>
              <w:right w:val="single" w:color="000000" w:sz="4" w:space="0"/>
            </w:tcBorders>
          </w:tcPr>
          <w:p>
            <w:pPr>
              <w:pStyle w:val="26"/>
              <w:spacing w:before="55" w:line="242" w:lineRule="auto"/>
              <w:ind w:left="153" w:right="111"/>
              <w:rPr>
                <w:color w:val="auto"/>
                <w:sz w:val="24"/>
                <w:highlight w:val="none"/>
              </w:rPr>
            </w:pPr>
            <w:r>
              <w:rPr>
                <w:color w:val="auto"/>
                <w:sz w:val="24"/>
                <w:highlight w:val="none"/>
              </w:rPr>
              <w:t>用于施工部位</w:t>
            </w:r>
          </w:p>
        </w:tc>
        <w:tc>
          <w:tcPr>
            <w:tcW w:w="996" w:type="dxa"/>
            <w:tcBorders>
              <w:left w:val="single" w:color="000000" w:sz="4" w:space="0"/>
              <w:bottom w:val="single" w:color="000000" w:sz="4" w:space="0"/>
            </w:tcBorders>
          </w:tcPr>
          <w:p>
            <w:pPr>
              <w:pStyle w:val="26"/>
              <w:spacing w:before="211"/>
              <w:ind w:left="278"/>
              <w:rPr>
                <w:color w:val="auto"/>
                <w:sz w:val="24"/>
                <w:highlight w:val="none"/>
              </w:rPr>
            </w:pPr>
            <w:r>
              <w:rPr>
                <w:color w:val="auto"/>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1"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2"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1"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1"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9" w:hRule="atLeast"/>
        </w:trPr>
        <w:tc>
          <w:tcPr>
            <w:tcW w:w="665"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665" w:type="dxa"/>
            <w:tcBorders>
              <w:top w:val="single" w:color="000000" w:sz="4" w:space="0"/>
              <w:right w:val="single" w:color="000000" w:sz="4" w:space="0"/>
            </w:tcBorders>
          </w:tcPr>
          <w:p>
            <w:pPr>
              <w:pStyle w:val="26"/>
              <w:rPr>
                <w:rFonts w:ascii="Times New Roman"/>
                <w:color w:val="auto"/>
                <w:sz w:val="20"/>
                <w:highlight w:val="none"/>
              </w:rPr>
            </w:pPr>
          </w:p>
        </w:tc>
        <w:tc>
          <w:tcPr>
            <w:tcW w:w="1099"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734"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756"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753"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1000"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1216"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848"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997"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996" w:type="dxa"/>
            <w:tcBorders>
              <w:top w:val="single" w:color="000000" w:sz="4" w:space="0"/>
              <w:left w:val="single" w:color="000000" w:sz="4" w:space="0"/>
            </w:tcBorders>
          </w:tcPr>
          <w:p>
            <w:pPr>
              <w:pStyle w:val="26"/>
              <w:rPr>
                <w:rFonts w:ascii="Times New Roman"/>
                <w:color w:val="auto"/>
                <w:sz w:val="20"/>
                <w:highlight w:val="none"/>
              </w:rPr>
            </w:pPr>
          </w:p>
        </w:tc>
      </w:tr>
    </w:tbl>
    <w:p>
      <w:pPr>
        <w:spacing w:before="102"/>
        <w:ind w:left="232" w:right="0" w:firstLine="0"/>
        <w:jc w:val="left"/>
        <w:rPr>
          <w:b/>
          <w:color w:val="auto"/>
          <w:sz w:val="21"/>
          <w:highlight w:val="none"/>
        </w:rPr>
      </w:pPr>
      <w:r>
        <w:rPr>
          <w:b/>
          <w:color w:val="auto"/>
          <w:sz w:val="21"/>
          <w:highlight w:val="none"/>
        </w:rPr>
        <w:t>备注：机械设备不作为项目准入条件，但应作出相关承诺。</w:t>
      </w:r>
    </w:p>
    <w:p>
      <w:pPr>
        <w:spacing w:after="0"/>
        <w:jc w:val="left"/>
        <w:rPr>
          <w:color w:val="auto"/>
          <w:sz w:val="21"/>
          <w:highlight w:val="none"/>
        </w:rPr>
        <w:sectPr>
          <w:pgSz w:w="11910" w:h="16840"/>
          <w:pgMar w:top="1140" w:right="900" w:bottom="1200" w:left="900" w:header="0" w:footer="928" w:gutter="0"/>
        </w:sectPr>
      </w:pPr>
    </w:p>
    <w:p>
      <w:pPr>
        <w:pStyle w:val="6"/>
        <w:spacing w:before="53"/>
        <w:ind w:left="0" w:right="1"/>
        <w:jc w:val="center"/>
        <w:rPr>
          <w:color w:val="auto"/>
          <w:highlight w:val="none"/>
        </w:rPr>
      </w:pPr>
      <w:r>
        <w:rPr>
          <w:color w:val="auto"/>
          <w:highlight w:val="none"/>
        </w:rPr>
        <w:t>附表 2：劳动力计划表</w:t>
      </w:r>
    </w:p>
    <w:p>
      <w:pPr>
        <w:pStyle w:val="7"/>
        <w:spacing w:before="161"/>
        <w:ind w:left="0" w:right="231"/>
        <w:jc w:val="right"/>
        <w:rPr>
          <w:color w:val="auto"/>
          <w:highlight w:val="none"/>
        </w:rPr>
      </w:pPr>
      <w:r>
        <w:rPr>
          <w:color w:val="auto"/>
          <w:highlight w:val="none"/>
        </w:rPr>
        <w:t>单位：人</w:t>
      </w:r>
    </w:p>
    <w:p>
      <w:pPr>
        <w:pStyle w:val="7"/>
        <w:spacing w:before="4"/>
        <w:ind w:left="0"/>
        <w:rPr>
          <w:color w:val="auto"/>
          <w:sz w:val="6"/>
          <w:highlight w:val="none"/>
        </w:rPr>
      </w:pPr>
    </w:p>
    <w:tbl>
      <w:tblPr>
        <w:tblStyle w:val="10"/>
        <w:tblW w:w="0" w:type="auto"/>
        <w:tblInd w:w="5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9"/>
        <w:gridCol w:w="1185"/>
        <w:gridCol w:w="1188"/>
        <w:gridCol w:w="1187"/>
        <w:gridCol w:w="1185"/>
        <w:gridCol w:w="1187"/>
        <w:gridCol w:w="1188"/>
        <w:gridCol w:w="11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bottom w:val="single" w:color="000000" w:sz="6" w:space="0"/>
              <w:right w:val="single" w:color="000000" w:sz="6" w:space="0"/>
            </w:tcBorders>
          </w:tcPr>
          <w:p>
            <w:pPr>
              <w:pStyle w:val="26"/>
              <w:spacing w:before="76"/>
              <w:ind w:left="157"/>
              <w:rPr>
                <w:color w:val="auto"/>
                <w:sz w:val="24"/>
                <w:highlight w:val="none"/>
              </w:rPr>
            </w:pPr>
            <w:r>
              <w:rPr>
                <w:color w:val="auto"/>
                <w:sz w:val="24"/>
                <w:highlight w:val="none"/>
              </w:rPr>
              <w:t>工种</w:t>
            </w:r>
          </w:p>
        </w:tc>
        <w:tc>
          <w:tcPr>
            <w:tcW w:w="8307" w:type="dxa"/>
            <w:gridSpan w:val="7"/>
            <w:tcBorders>
              <w:left w:val="single" w:color="000000" w:sz="6" w:space="0"/>
              <w:bottom w:val="single" w:color="000000" w:sz="6" w:space="0"/>
            </w:tcBorders>
          </w:tcPr>
          <w:p>
            <w:pPr>
              <w:pStyle w:val="26"/>
              <w:spacing w:before="76"/>
              <w:ind w:left="2461" w:right="2422"/>
              <w:jc w:val="center"/>
              <w:rPr>
                <w:color w:val="auto"/>
                <w:sz w:val="24"/>
                <w:highlight w:val="none"/>
              </w:rPr>
            </w:pPr>
            <w:r>
              <w:rPr>
                <w:color w:val="auto"/>
                <w:sz w:val="24"/>
                <w:highlight w:val="none"/>
              </w:rPr>
              <w:t>按工程施工阶段投入劳动力情况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top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bottom w:val="single" w:color="000000" w:sz="6"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799" w:type="dxa"/>
            <w:tcBorders>
              <w:top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right w:val="single" w:color="000000" w:sz="6" w:space="0"/>
            </w:tcBorders>
          </w:tcPr>
          <w:p>
            <w:pPr>
              <w:pStyle w:val="26"/>
              <w:rPr>
                <w:rFonts w:ascii="Times New Roman"/>
                <w:color w:val="auto"/>
                <w:sz w:val="20"/>
                <w:highlight w:val="none"/>
              </w:rPr>
            </w:pPr>
          </w:p>
        </w:tc>
        <w:tc>
          <w:tcPr>
            <w:tcW w:w="1185" w:type="dxa"/>
            <w:tcBorders>
              <w:top w:val="single" w:color="000000" w:sz="6" w:space="0"/>
              <w:left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right w:val="single" w:color="000000" w:sz="6" w:space="0"/>
            </w:tcBorders>
          </w:tcPr>
          <w:p>
            <w:pPr>
              <w:pStyle w:val="26"/>
              <w:rPr>
                <w:rFonts w:ascii="Times New Roman"/>
                <w:color w:val="auto"/>
                <w:sz w:val="20"/>
                <w:highlight w:val="none"/>
              </w:rPr>
            </w:pPr>
          </w:p>
        </w:tc>
        <w:tc>
          <w:tcPr>
            <w:tcW w:w="1188" w:type="dxa"/>
            <w:tcBorders>
              <w:top w:val="single" w:color="000000" w:sz="6" w:space="0"/>
              <w:left w:val="single" w:color="000000" w:sz="6" w:space="0"/>
              <w:right w:val="single" w:color="000000" w:sz="6" w:space="0"/>
            </w:tcBorders>
          </w:tcPr>
          <w:p>
            <w:pPr>
              <w:pStyle w:val="26"/>
              <w:rPr>
                <w:rFonts w:ascii="Times New Roman"/>
                <w:color w:val="auto"/>
                <w:sz w:val="20"/>
                <w:highlight w:val="none"/>
              </w:rPr>
            </w:pPr>
          </w:p>
        </w:tc>
        <w:tc>
          <w:tcPr>
            <w:tcW w:w="1187" w:type="dxa"/>
            <w:tcBorders>
              <w:top w:val="single" w:color="000000" w:sz="6" w:space="0"/>
              <w:left w:val="single" w:color="000000" w:sz="6" w:space="0"/>
            </w:tcBorders>
          </w:tcPr>
          <w:p>
            <w:pPr>
              <w:pStyle w:val="26"/>
              <w:rPr>
                <w:rFonts w:ascii="Times New Roman"/>
                <w:color w:val="auto"/>
                <w:sz w:val="20"/>
                <w:highlight w:val="none"/>
              </w:rPr>
            </w:pPr>
          </w:p>
        </w:tc>
      </w:tr>
    </w:tbl>
    <w:p>
      <w:pPr>
        <w:spacing w:after="0"/>
        <w:rPr>
          <w:rFonts w:ascii="Times New Roman"/>
          <w:color w:val="auto"/>
          <w:sz w:val="20"/>
          <w:highlight w:val="none"/>
        </w:rPr>
        <w:sectPr>
          <w:pgSz w:w="11910" w:h="16840"/>
          <w:pgMar w:top="1140" w:right="900" w:bottom="1200" w:left="900" w:header="0" w:footer="928" w:gutter="0"/>
        </w:sectPr>
      </w:pPr>
    </w:p>
    <w:p>
      <w:pPr>
        <w:pStyle w:val="6"/>
        <w:spacing w:before="53"/>
        <w:ind w:left="0" w:right="2"/>
        <w:jc w:val="center"/>
        <w:rPr>
          <w:color w:val="auto"/>
          <w:highlight w:val="none"/>
        </w:rPr>
      </w:pPr>
      <w:r>
        <w:rPr>
          <w:color w:val="auto"/>
          <w:highlight w:val="none"/>
        </w:rPr>
        <w:t>附表 3：计划开、竣工日期和施工进度网络图</w:t>
      </w:r>
    </w:p>
    <w:p>
      <w:pPr>
        <w:pStyle w:val="7"/>
        <w:ind w:left="0"/>
        <w:rPr>
          <w:b/>
          <w:color w:val="auto"/>
          <w:highlight w:val="none"/>
        </w:rPr>
      </w:pPr>
    </w:p>
    <w:p>
      <w:pPr>
        <w:pStyle w:val="7"/>
        <w:ind w:left="0"/>
        <w:rPr>
          <w:b/>
          <w:color w:val="auto"/>
          <w:highlight w:val="none"/>
        </w:rPr>
      </w:pPr>
    </w:p>
    <w:p>
      <w:pPr>
        <w:pStyle w:val="7"/>
        <w:spacing w:before="6"/>
        <w:ind w:left="0"/>
        <w:rPr>
          <w:b/>
          <w:color w:val="auto"/>
          <w:sz w:val="19"/>
          <w:highlight w:val="none"/>
        </w:rPr>
      </w:pPr>
    </w:p>
    <w:p>
      <w:pPr>
        <w:pStyle w:val="25"/>
        <w:numPr>
          <w:ilvl w:val="0"/>
          <w:numId w:val="39"/>
        </w:numPr>
        <w:tabs>
          <w:tab w:val="left" w:pos="1075"/>
        </w:tabs>
        <w:spacing w:before="0" w:after="0" w:line="487" w:lineRule="auto"/>
        <w:ind w:left="232" w:right="232" w:firstLine="480"/>
        <w:jc w:val="left"/>
        <w:rPr>
          <w:color w:val="auto"/>
          <w:sz w:val="24"/>
          <w:highlight w:val="none"/>
        </w:rPr>
      </w:pPr>
      <w:r>
        <w:rPr>
          <w:color w:val="auto"/>
          <w:spacing w:val="-3"/>
          <w:sz w:val="24"/>
          <w:highlight w:val="none"/>
        </w:rPr>
        <w:t>投标人应递交施工进度网络图或施工进度表，说明按招标文件要求的计划工期进行</w:t>
      </w:r>
      <w:r>
        <w:rPr>
          <w:color w:val="auto"/>
          <w:spacing w:val="-4"/>
          <w:sz w:val="24"/>
          <w:highlight w:val="none"/>
        </w:rPr>
        <w:t>施工的各个关键日期。</w:t>
      </w:r>
    </w:p>
    <w:p>
      <w:pPr>
        <w:pStyle w:val="25"/>
        <w:numPr>
          <w:ilvl w:val="0"/>
          <w:numId w:val="39"/>
        </w:numPr>
        <w:tabs>
          <w:tab w:val="left" w:pos="1075"/>
        </w:tabs>
        <w:spacing w:before="0" w:after="0" w:line="307" w:lineRule="exact"/>
        <w:ind w:left="1074" w:right="0" w:hanging="362"/>
        <w:jc w:val="left"/>
        <w:rPr>
          <w:color w:val="auto"/>
          <w:sz w:val="24"/>
          <w:highlight w:val="none"/>
        </w:rPr>
      </w:pPr>
      <w:r>
        <w:rPr>
          <w:color w:val="auto"/>
          <w:sz w:val="24"/>
          <w:highlight w:val="none"/>
        </w:rPr>
        <w:t>施工进度表可采用网络图（或横道图）表示。</w:t>
      </w:r>
    </w:p>
    <w:p>
      <w:pPr>
        <w:spacing w:after="0" w:line="307" w:lineRule="exact"/>
        <w:jc w:val="left"/>
        <w:rPr>
          <w:color w:val="auto"/>
          <w:sz w:val="24"/>
          <w:highlight w:val="none"/>
        </w:rPr>
        <w:sectPr>
          <w:pgSz w:w="11910" w:h="16840"/>
          <w:pgMar w:top="1140" w:right="900" w:bottom="1200" w:left="900" w:header="0" w:footer="928" w:gutter="0"/>
        </w:sectPr>
      </w:pPr>
    </w:p>
    <w:p>
      <w:pPr>
        <w:pStyle w:val="6"/>
        <w:spacing w:before="53"/>
        <w:ind w:left="0" w:right="1"/>
        <w:jc w:val="center"/>
        <w:rPr>
          <w:color w:val="auto"/>
          <w:highlight w:val="none"/>
        </w:rPr>
      </w:pPr>
      <w:r>
        <w:rPr>
          <w:color w:val="auto"/>
          <w:highlight w:val="none"/>
        </w:rPr>
        <w:t>附表 4：施工总平面图</w:t>
      </w:r>
    </w:p>
    <w:p>
      <w:pPr>
        <w:pStyle w:val="7"/>
        <w:ind w:left="0"/>
        <w:rPr>
          <w:b/>
          <w:color w:val="auto"/>
          <w:highlight w:val="none"/>
        </w:rPr>
      </w:pPr>
    </w:p>
    <w:p>
      <w:pPr>
        <w:pStyle w:val="7"/>
        <w:ind w:left="0"/>
        <w:rPr>
          <w:b/>
          <w:color w:val="auto"/>
          <w:highlight w:val="none"/>
        </w:rPr>
      </w:pPr>
    </w:p>
    <w:p>
      <w:pPr>
        <w:pStyle w:val="7"/>
        <w:spacing w:before="6"/>
        <w:ind w:left="0"/>
        <w:rPr>
          <w:b/>
          <w:color w:val="auto"/>
          <w:sz w:val="19"/>
          <w:highlight w:val="none"/>
        </w:rPr>
      </w:pPr>
    </w:p>
    <w:p>
      <w:pPr>
        <w:pStyle w:val="7"/>
        <w:spacing w:line="487" w:lineRule="auto"/>
        <w:ind w:right="234" w:firstLine="480"/>
        <w:jc w:val="both"/>
        <w:rPr>
          <w:color w:val="auto"/>
          <w:highlight w:val="none"/>
        </w:rPr>
      </w:pPr>
      <w:r>
        <w:rPr>
          <w:color w:val="auto"/>
          <w:highlight w:val="none"/>
        </w:rPr>
        <w:t>投标人应递交一份施工总平面图，绘出现场临时设施布置图表并附文字说明，说明临时设施、加工车间、现场办公、设备及仓储、供电、供水、卫生、生活、道路、消防等设施的情况和布置。</w:t>
      </w:r>
    </w:p>
    <w:p>
      <w:pPr>
        <w:spacing w:after="0" w:line="487" w:lineRule="auto"/>
        <w:jc w:val="both"/>
        <w:rPr>
          <w:color w:val="auto"/>
          <w:highlight w:val="none"/>
        </w:rPr>
        <w:sectPr>
          <w:pgSz w:w="11910" w:h="16840"/>
          <w:pgMar w:top="1140" w:right="900" w:bottom="1200" w:left="900" w:header="0" w:footer="928" w:gutter="0"/>
        </w:sectPr>
      </w:pPr>
    </w:p>
    <w:p>
      <w:pPr>
        <w:pStyle w:val="6"/>
        <w:spacing w:before="53"/>
        <w:ind w:left="0" w:right="1"/>
        <w:jc w:val="center"/>
        <w:rPr>
          <w:color w:val="auto"/>
          <w:highlight w:val="none"/>
        </w:rPr>
      </w:pPr>
      <w:bookmarkStart w:id="42" w:name="附表5：项目管理机构组成"/>
      <w:bookmarkEnd w:id="42"/>
      <w:r>
        <w:rPr>
          <w:color w:val="auto"/>
          <w:highlight w:val="none"/>
        </w:rPr>
        <w:t>附表 5：项目管理机构组成</w:t>
      </w:r>
    </w:p>
    <w:p>
      <w:pPr>
        <w:pStyle w:val="7"/>
        <w:spacing w:before="9"/>
        <w:ind w:left="0"/>
        <w:rPr>
          <w:b/>
          <w:color w:val="auto"/>
          <w:sz w:val="8"/>
          <w:highlight w:val="none"/>
        </w:rPr>
      </w:pPr>
    </w:p>
    <w:p>
      <w:pPr>
        <w:spacing w:before="67"/>
        <w:ind w:left="232" w:right="0" w:firstLine="0"/>
        <w:jc w:val="left"/>
        <w:rPr>
          <w:b/>
          <w:color w:val="auto"/>
          <w:sz w:val="24"/>
          <w:highlight w:val="none"/>
        </w:rPr>
      </w:pPr>
      <w:r>
        <w:rPr>
          <w:b/>
          <w:color w:val="auto"/>
          <w:sz w:val="24"/>
          <w:highlight w:val="none"/>
        </w:rPr>
        <w:t>（一）项目管理机构人员组成表</w:t>
      </w:r>
    </w:p>
    <w:p>
      <w:pPr>
        <w:pStyle w:val="7"/>
        <w:ind w:left="0"/>
        <w:rPr>
          <w:b/>
          <w:color w:val="auto"/>
          <w:sz w:val="20"/>
          <w:highlight w:val="none"/>
        </w:rPr>
      </w:pPr>
    </w:p>
    <w:p>
      <w:pPr>
        <w:pStyle w:val="7"/>
        <w:spacing w:before="12"/>
        <w:ind w:left="0"/>
        <w:rPr>
          <w:b/>
          <w:color w:val="auto"/>
          <w:sz w:val="29"/>
          <w:highlight w:val="none"/>
        </w:rPr>
      </w:pPr>
    </w:p>
    <w:tbl>
      <w:tblPr>
        <w:tblStyle w:val="10"/>
        <w:tblW w:w="0" w:type="auto"/>
        <w:tblInd w:w="4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3"/>
        <w:gridCol w:w="704"/>
        <w:gridCol w:w="805"/>
        <w:gridCol w:w="1126"/>
        <w:gridCol w:w="1232"/>
        <w:gridCol w:w="1741"/>
        <w:gridCol w:w="239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7" w:hRule="atLeast"/>
        </w:trPr>
        <w:tc>
          <w:tcPr>
            <w:tcW w:w="1263" w:type="dxa"/>
            <w:tcBorders>
              <w:bottom w:val="single" w:color="000000" w:sz="4" w:space="0"/>
              <w:right w:val="single" w:color="000000" w:sz="4" w:space="0"/>
            </w:tcBorders>
          </w:tcPr>
          <w:p>
            <w:pPr>
              <w:pStyle w:val="26"/>
              <w:spacing w:before="6"/>
              <w:rPr>
                <w:b/>
                <w:color w:val="auto"/>
                <w:sz w:val="33"/>
                <w:highlight w:val="none"/>
              </w:rPr>
            </w:pPr>
          </w:p>
          <w:p>
            <w:pPr>
              <w:pStyle w:val="26"/>
              <w:ind w:left="393"/>
              <w:rPr>
                <w:color w:val="auto"/>
                <w:sz w:val="24"/>
                <w:highlight w:val="none"/>
              </w:rPr>
            </w:pPr>
            <w:r>
              <w:rPr>
                <w:color w:val="auto"/>
                <w:sz w:val="24"/>
                <w:highlight w:val="none"/>
              </w:rPr>
              <w:t>姓名</w:t>
            </w:r>
          </w:p>
        </w:tc>
        <w:tc>
          <w:tcPr>
            <w:tcW w:w="704" w:type="dxa"/>
            <w:tcBorders>
              <w:left w:val="single" w:color="000000" w:sz="4" w:space="0"/>
              <w:bottom w:val="single" w:color="000000" w:sz="4" w:space="0"/>
              <w:right w:val="single" w:color="000000" w:sz="4" w:space="0"/>
            </w:tcBorders>
          </w:tcPr>
          <w:p>
            <w:pPr>
              <w:pStyle w:val="26"/>
              <w:spacing w:before="6"/>
              <w:rPr>
                <w:b/>
                <w:color w:val="auto"/>
                <w:sz w:val="33"/>
                <w:highlight w:val="none"/>
              </w:rPr>
            </w:pPr>
          </w:p>
          <w:p>
            <w:pPr>
              <w:pStyle w:val="26"/>
              <w:ind w:left="121"/>
              <w:rPr>
                <w:color w:val="auto"/>
                <w:sz w:val="24"/>
                <w:highlight w:val="none"/>
              </w:rPr>
            </w:pPr>
            <w:r>
              <w:rPr>
                <w:color w:val="auto"/>
                <w:sz w:val="24"/>
                <w:highlight w:val="none"/>
              </w:rPr>
              <w:t>性别</w:t>
            </w:r>
          </w:p>
        </w:tc>
        <w:tc>
          <w:tcPr>
            <w:tcW w:w="805" w:type="dxa"/>
            <w:tcBorders>
              <w:left w:val="single" w:color="000000" w:sz="4" w:space="0"/>
              <w:bottom w:val="single" w:color="000000" w:sz="4" w:space="0"/>
              <w:right w:val="single" w:color="000000" w:sz="4" w:space="0"/>
            </w:tcBorders>
          </w:tcPr>
          <w:p>
            <w:pPr>
              <w:pStyle w:val="26"/>
              <w:spacing w:before="6"/>
              <w:rPr>
                <w:b/>
                <w:color w:val="auto"/>
                <w:sz w:val="33"/>
                <w:highlight w:val="none"/>
              </w:rPr>
            </w:pPr>
          </w:p>
          <w:p>
            <w:pPr>
              <w:pStyle w:val="26"/>
              <w:ind w:left="169"/>
              <w:rPr>
                <w:color w:val="auto"/>
                <w:sz w:val="24"/>
                <w:highlight w:val="none"/>
              </w:rPr>
            </w:pPr>
            <w:r>
              <w:rPr>
                <w:color w:val="auto"/>
                <w:sz w:val="24"/>
                <w:highlight w:val="none"/>
              </w:rPr>
              <w:t>年龄</w:t>
            </w:r>
          </w:p>
        </w:tc>
        <w:tc>
          <w:tcPr>
            <w:tcW w:w="1126" w:type="dxa"/>
            <w:tcBorders>
              <w:left w:val="single" w:color="000000" w:sz="4" w:space="0"/>
              <w:bottom w:val="single" w:color="000000" w:sz="4" w:space="0"/>
              <w:right w:val="single" w:color="000000" w:sz="4" w:space="0"/>
            </w:tcBorders>
          </w:tcPr>
          <w:p>
            <w:pPr>
              <w:pStyle w:val="26"/>
              <w:spacing w:before="6"/>
              <w:rPr>
                <w:b/>
                <w:color w:val="auto"/>
                <w:sz w:val="33"/>
                <w:highlight w:val="none"/>
              </w:rPr>
            </w:pPr>
          </w:p>
          <w:p>
            <w:pPr>
              <w:pStyle w:val="26"/>
              <w:ind w:left="329"/>
              <w:rPr>
                <w:color w:val="auto"/>
                <w:sz w:val="24"/>
                <w:highlight w:val="none"/>
              </w:rPr>
            </w:pPr>
            <w:r>
              <w:rPr>
                <w:color w:val="auto"/>
                <w:sz w:val="24"/>
                <w:highlight w:val="none"/>
              </w:rPr>
              <w:t>职称</w:t>
            </w:r>
          </w:p>
        </w:tc>
        <w:tc>
          <w:tcPr>
            <w:tcW w:w="1232" w:type="dxa"/>
            <w:tcBorders>
              <w:left w:val="single" w:color="000000" w:sz="4" w:space="0"/>
              <w:bottom w:val="single" w:color="000000" w:sz="4" w:space="0"/>
              <w:right w:val="single" w:color="000000" w:sz="4" w:space="0"/>
            </w:tcBorders>
          </w:tcPr>
          <w:p>
            <w:pPr>
              <w:pStyle w:val="26"/>
              <w:spacing w:before="6"/>
              <w:rPr>
                <w:b/>
                <w:color w:val="auto"/>
                <w:sz w:val="33"/>
                <w:highlight w:val="none"/>
              </w:rPr>
            </w:pPr>
          </w:p>
          <w:p>
            <w:pPr>
              <w:pStyle w:val="26"/>
              <w:ind w:left="381"/>
              <w:rPr>
                <w:color w:val="auto"/>
                <w:sz w:val="24"/>
                <w:highlight w:val="none"/>
              </w:rPr>
            </w:pPr>
            <w:r>
              <w:rPr>
                <w:color w:val="auto"/>
                <w:sz w:val="24"/>
                <w:highlight w:val="none"/>
              </w:rPr>
              <w:t>专业</w:t>
            </w:r>
          </w:p>
        </w:tc>
        <w:tc>
          <w:tcPr>
            <w:tcW w:w="1741" w:type="dxa"/>
            <w:tcBorders>
              <w:left w:val="single" w:color="000000" w:sz="4" w:space="0"/>
              <w:bottom w:val="single" w:color="000000" w:sz="4" w:space="0"/>
              <w:right w:val="single" w:color="000000" w:sz="4" w:space="0"/>
            </w:tcBorders>
          </w:tcPr>
          <w:p>
            <w:pPr>
              <w:pStyle w:val="26"/>
              <w:spacing w:before="6"/>
              <w:rPr>
                <w:b/>
                <w:color w:val="auto"/>
                <w:sz w:val="33"/>
                <w:highlight w:val="none"/>
              </w:rPr>
            </w:pPr>
          </w:p>
          <w:p>
            <w:pPr>
              <w:pStyle w:val="26"/>
              <w:ind w:left="155"/>
              <w:rPr>
                <w:color w:val="auto"/>
                <w:sz w:val="24"/>
                <w:highlight w:val="none"/>
              </w:rPr>
            </w:pPr>
            <w:r>
              <w:rPr>
                <w:color w:val="auto"/>
                <w:sz w:val="24"/>
                <w:highlight w:val="none"/>
              </w:rPr>
              <w:t>资格证书编号</w:t>
            </w:r>
          </w:p>
        </w:tc>
        <w:tc>
          <w:tcPr>
            <w:tcW w:w="2394" w:type="dxa"/>
            <w:tcBorders>
              <w:left w:val="single" w:color="000000" w:sz="4" w:space="0"/>
              <w:bottom w:val="single" w:color="000000" w:sz="4" w:space="0"/>
            </w:tcBorders>
          </w:tcPr>
          <w:p>
            <w:pPr>
              <w:pStyle w:val="26"/>
              <w:spacing w:before="3"/>
              <w:rPr>
                <w:b/>
                <w:color w:val="auto"/>
                <w:sz w:val="21"/>
                <w:highlight w:val="none"/>
              </w:rPr>
            </w:pPr>
          </w:p>
          <w:p>
            <w:pPr>
              <w:pStyle w:val="26"/>
              <w:spacing w:before="1" w:line="242" w:lineRule="auto"/>
              <w:ind w:left="241" w:right="210" w:firstLine="240"/>
              <w:rPr>
                <w:color w:val="auto"/>
                <w:sz w:val="24"/>
                <w:highlight w:val="none"/>
              </w:rPr>
            </w:pPr>
            <w:r>
              <w:rPr>
                <w:color w:val="auto"/>
                <w:sz w:val="24"/>
                <w:highlight w:val="none"/>
              </w:rPr>
              <w:t xml:space="preserve">拟在本项目中 </w:t>
            </w:r>
            <w:r>
              <w:rPr>
                <w:color w:val="auto"/>
                <w:spacing w:val="-3"/>
                <w:sz w:val="24"/>
                <w:highlight w:val="none"/>
              </w:rPr>
              <w:t>担任的工作或岗位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263" w:type="dxa"/>
            <w:tcBorders>
              <w:top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bottom w:val="single" w:color="000000" w:sz="4" w:space="0"/>
            </w:tcBorders>
          </w:tcPr>
          <w:p>
            <w:pPr>
              <w:pStyle w:val="26"/>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1263" w:type="dxa"/>
            <w:tcBorders>
              <w:top w:val="single" w:color="000000" w:sz="4" w:space="0"/>
              <w:right w:val="single" w:color="000000" w:sz="4" w:space="0"/>
            </w:tcBorders>
          </w:tcPr>
          <w:p>
            <w:pPr>
              <w:pStyle w:val="26"/>
              <w:rPr>
                <w:rFonts w:ascii="Times New Roman"/>
                <w:color w:val="auto"/>
                <w:sz w:val="20"/>
                <w:highlight w:val="none"/>
              </w:rPr>
            </w:pPr>
          </w:p>
        </w:tc>
        <w:tc>
          <w:tcPr>
            <w:tcW w:w="704"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805"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1126"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1232"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1741" w:type="dxa"/>
            <w:tcBorders>
              <w:top w:val="single" w:color="000000" w:sz="4" w:space="0"/>
              <w:left w:val="single" w:color="000000" w:sz="4" w:space="0"/>
              <w:right w:val="single" w:color="000000" w:sz="4" w:space="0"/>
            </w:tcBorders>
          </w:tcPr>
          <w:p>
            <w:pPr>
              <w:pStyle w:val="26"/>
              <w:rPr>
                <w:rFonts w:ascii="Times New Roman"/>
                <w:color w:val="auto"/>
                <w:sz w:val="20"/>
                <w:highlight w:val="none"/>
              </w:rPr>
            </w:pPr>
          </w:p>
        </w:tc>
        <w:tc>
          <w:tcPr>
            <w:tcW w:w="2394" w:type="dxa"/>
            <w:tcBorders>
              <w:top w:val="single" w:color="000000" w:sz="4" w:space="0"/>
              <w:left w:val="single" w:color="000000" w:sz="4" w:space="0"/>
            </w:tcBorders>
          </w:tcPr>
          <w:p>
            <w:pPr>
              <w:pStyle w:val="26"/>
              <w:rPr>
                <w:rFonts w:ascii="Times New Roman"/>
                <w:color w:val="auto"/>
                <w:sz w:val="20"/>
                <w:highlight w:val="none"/>
              </w:rPr>
            </w:pPr>
          </w:p>
        </w:tc>
      </w:tr>
    </w:tbl>
    <w:p>
      <w:pPr>
        <w:spacing w:after="0"/>
        <w:rPr>
          <w:rFonts w:ascii="Times New Roman"/>
          <w:color w:val="auto"/>
          <w:sz w:val="20"/>
          <w:highlight w:val="none"/>
        </w:rPr>
        <w:sectPr>
          <w:pgSz w:w="11910" w:h="16840"/>
          <w:pgMar w:top="1140" w:right="900" w:bottom="1200" w:left="900" w:header="0" w:footer="928" w:gutter="0"/>
        </w:sectPr>
      </w:pPr>
    </w:p>
    <w:p>
      <w:pPr>
        <w:spacing w:before="53"/>
        <w:ind w:left="0" w:right="1" w:firstLine="0"/>
        <w:jc w:val="center"/>
        <w:rPr>
          <w:b/>
          <w:color w:val="auto"/>
          <w:sz w:val="24"/>
          <w:highlight w:val="none"/>
        </w:rPr>
      </w:pPr>
      <w:bookmarkStart w:id="43" w:name="（二）主要人员简历表"/>
      <w:bookmarkEnd w:id="43"/>
      <w:r>
        <w:rPr>
          <w:b/>
          <w:color w:val="auto"/>
          <w:sz w:val="24"/>
          <w:highlight w:val="none"/>
        </w:rPr>
        <w:t>（二）主要人员简历表</w:t>
      </w:r>
    </w:p>
    <w:p>
      <w:pPr>
        <w:spacing w:before="161"/>
        <w:ind w:left="232" w:right="0" w:firstLine="0"/>
        <w:jc w:val="left"/>
        <w:rPr>
          <w:b/>
          <w:color w:val="auto"/>
          <w:sz w:val="24"/>
          <w:highlight w:val="none"/>
        </w:rPr>
      </w:pPr>
      <w:bookmarkStart w:id="44" w:name="附1：项目经理简历表"/>
      <w:bookmarkEnd w:id="44"/>
      <w:r>
        <w:rPr>
          <w:b/>
          <w:color w:val="auto"/>
          <w:sz w:val="24"/>
          <w:highlight w:val="none"/>
        </w:rPr>
        <w:t>附 1：项目经理简历表</w:t>
      </w:r>
    </w:p>
    <w:p>
      <w:pPr>
        <w:spacing w:before="161"/>
        <w:ind w:left="232" w:right="0" w:firstLine="0"/>
        <w:jc w:val="left"/>
        <w:rPr>
          <w:b/>
          <w:color w:val="auto"/>
          <w:sz w:val="24"/>
          <w:highlight w:val="none"/>
        </w:rPr>
      </w:pPr>
      <w:bookmarkStart w:id="45" w:name="项目经理应附建造师执业资格证书、身份证、职称证、学历证、个人业绩证明。"/>
      <w:bookmarkEnd w:id="45"/>
      <w:r>
        <w:rPr>
          <w:b/>
          <w:color w:val="auto"/>
          <w:sz w:val="24"/>
          <w:highlight w:val="none"/>
        </w:rPr>
        <w:t>项目经理应附建造师执业资格证书、</w:t>
      </w:r>
      <w:r>
        <w:rPr>
          <w:rFonts w:hint="eastAsia"/>
          <w:b/>
          <w:color w:val="auto"/>
          <w:sz w:val="24"/>
          <w:highlight w:val="none"/>
          <w:lang w:eastAsia="zh-CN"/>
        </w:rPr>
        <w:t>注册证、安全生产考核合格证书、</w:t>
      </w:r>
      <w:r>
        <w:rPr>
          <w:b/>
          <w:color w:val="auto"/>
          <w:sz w:val="24"/>
          <w:highlight w:val="none"/>
        </w:rPr>
        <w:t>身份证、职称证。</w:t>
      </w:r>
    </w:p>
    <w:p>
      <w:pPr>
        <w:pStyle w:val="7"/>
        <w:spacing w:before="4"/>
        <w:ind w:left="0"/>
        <w:rPr>
          <w:b/>
          <w:color w:val="auto"/>
          <w:sz w:val="6"/>
          <w:highlight w:val="none"/>
        </w:rPr>
      </w:pPr>
    </w:p>
    <w:tbl>
      <w:tblPr>
        <w:tblStyle w:val="10"/>
        <w:tblW w:w="0" w:type="auto"/>
        <w:tblInd w:w="21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58"/>
        <w:gridCol w:w="1358"/>
        <w:gridCol w:w="1217"/>
        <w:gridCol w:w="734"/>
        <w:gridCol w:w="950"/>
        <w:gridCol w:w="1387"/>
        <w:gridCol w:w="544"/>
        <w:gridCol w:w="22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1258" w:type="dxa"/>
            <w:tcBorders>
              <w:bottom w:val="single" w:color="000000" w:sz="4" w:space="0"/>
              <w:right w:val="single" w:color="000000" w:sz="4" w:space="0"/>
            </w:tcBorders>
          </w:tcPr>
          <w:p>
            <w:pPr>
              <w:pStyle w:val="26"/>
              <w:tabs>
                <w:tab w:val="left" w:pos="499"/>
              </w:tabs>
              <w:spacing w:before="182"/>
              <w:ind w:left="19"/>
              <w:jc w:val="center"/>
              <w:rPr>
                <w:color w:val="auto"/>
                <w:sz w:val="24"/>
                <w:highlight w:val="none"/>
              </w:rPr>
            </w:pPr>
            <w:r>
              <w:rPr>
                <w:color w:val="auto"/>
                <w:sz w:val="24"/>
                <w:highlight w:val="none"/>
              </w:rPr>
              <w:t>姓</w:t>
            </w:r>
            <w:r>
              <w:rPr>
                <w:color w:val="auto"/>
                <w:sz w:val="24"/>
                <w:highlight w:val="none"/>
              </w:rPr>
              <w:tab/>
            </w:r>
            <w:r>
              <w:rPr>
                <w:color w:val="auto"/>
                <w:sz w:val="24"/>
                <w:highlight w:val="none"/>
              </w:rPr>
              <w:t>名</w:t>
            </w:r>
          </w:p>
        </w:tc>
        <w:tc>
          <w:tcPr>
            <w:tcW w:w="1358" w:type="dxa"/>
            <w:tcBorders>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1217" w:type="dxa"/>
            <w:tcBorders>
              <w:left w:val="single" w:color="000000" w:sz="4" w:space="0"/>
              <w:bottom w:val="single" w:color="000000" w:sz="4" w:space="0"/>
              <w:right w:val="single" w:color="000000" w:sz="4" w:space="0"/>
            </w:tcBorders>
          </w:tcPr>
          <w:p>
            <w:pPr>
              <w:pStyle w:val="26"/>
              <w:tabs>
                <w:tab w:val="left" w:pos="737"/>
              </w:tabs>
              <w:spacing w:before="182"/>
              <w:ind w:left="256"/>
              <w:rPr>
                <w:color w:val="auto"/>
                <w:sz w:val="24"/>
                <w:highlight w:val="none"/>
              </w:rPr>
            </w:pPr>
            <w:r>
              <w:rPr>
                <w:color w:val="auto"/>
                <w:sz w:val="24"/>
                <w:highlight w:val="none"/>
              </w:rPr>
              <w:t>年</w:t>
            </w:r>
            <w:r>
              <w:rPr>
                <w:color w:val="auto"/>
                <w:sz w:val="24"/>
                <w:highlight w:val="none"/>
              </w:rPr>
              <w:tab/>
            </w:r>
            <w:r>
              <w:rPr>
                <w:color w:val="auto"/>
                <w:sz w:val="24"/>
                <w:highlight w:val="none"/>
              </w:rPr>
              <w:t>龄</w:t>
            </w:r>
          </w:p>
        </w:tc>
        <w:tc>
          <w:tcPr>
            <w:tcW w:w="1684" w:type="dxa"/>
            <w:gridSpan w:val="2"/>
            <w:tcBorders>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1931" w:type="dxa"/>
            <w:gridSpan w:val="2"/>
            <w:tcBorders>
              <w:left w:val="single" w:color="000000" w:sz="4" w:space="0"/>
              <w:bottom w:val="single" w:color="000000" w:sz="4" w:space="0"/>
              <w:right w:val="single" w:color="000000" w:sz="4" w:space="0"/>
            </w:tcBorders>
          </w:tcPr>
          <w:p>
            <w:pPr>
              <w:pStyle w:val="26"/>
              <w:tabs>
                <w:tab w:val="left" w:pos="1096"/>
              </w:tabs>
              <w:spacing w:before="182"/>
              <w:ind w:left="616"/>
              <w:rPr>
                <w:color w:val="auto"/>
                <w:sz w:val="24"/>
                <w:highlight w:val="none"/>
              </w:rPr>
            </w:pPr>
            <w:r>
              <w:rPr>
                <w:color w:val="auto"/>
                <w:sz w:val="24"/>
                <w:highlight w:val="none"/>
              </w:rPr>
              <w:t>学</w:t>
            </w:r>
            <w:r>
              <w:rPr>
                <w:color w:val="auto"/>
                <w:sz w:val="24"/>
                <w:highlight w:val="none"/>
              </w:rPr>
              <w:tab/>
            </w:r>
            <w:r>
              <w:rPr>
                <w:color w:val="auto"/>
                <w:sz w:val="24"/>
                <w:highlight w:val="none"/>
              </w:rPr>
              <w:t>历</w:t>
            </w:r>
          </w:p>
        </w:tc>
        <w:tc>
          <w:tcPr>
            <w:tcW w:w="2265" w:type="dxa"/>
            <w:tcBorders>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tabs>
                <w:tab w:val="left" w:pos="499"/>
              </w:tabs>
              <w:spacing w:before="167"/>
              <w:ind w:left="19"/>
              <w:jc w:val="center"/>
              <w:rPr>
                <w:color w:val="auto"/>
                <w:sz w:val="24"/>
                <w:highlight w:val="none"/>
              </w:rPr>
            </w:pPr>
            <w:r>
              <w:rPr>
                <w:color w:val="auto"/>
                <w:sz w:val="24"/>
                <w:highlight w:val="none"/>
              </w:rPr>
              <w:t>职</w:t>
            </w:r>
            <w:r>
              <w:rPr>
                <w:color w:val="auto"/>
                <w:sz w:val="24"/>
                <w:highlight w:val="none"/>
              </w:rPr>
              <w:tab/>
            </w:r>
            <w:r>
              <w:rPr>
                <w:color w:val="auto"/>
                <w:sz w:val="24"/>
                <w:highlight w:val="none"/>
              </w:rPr>
              <w:t>称</w:t>
            </w:r>
          </w:p>
        </w:tc>
        <w:tc>
          <w:tcPr>
            <w:tcW w:w="135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pStyle w:val="26"/>
              <w:tabs>
                <w:tab w:val="left" w:pos="737"/>
              </w:tabs>
              <w:spacing w:before="167"/>
              <w:ind w:left="256"/>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1684"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1931" w:type="dxa"/>
            <w:gridSpan w:val="2"/>
            <w:tcBorders>
              <w:top w:val="single" w:color="000000" w:sz="4" w:space="0"/>
              <w:left w:val="single" w:color="000000" w:sz="4" w:space="0"/>
              <w:bottom w:val="single" w:color="000000" w:sz="4" w:space="0"/>
              <w:right w:val="single" w:color="000000" w:sz="4" w:space="0"/>
            </w:tcBorders>
          </w:tcPr>
          <w:p>
            <w:pPr>
              <w:pStyle w:val="26"/>
              <w:spacing w:before="167"/>
              <w:ind w:left="136"/>
              <w:rPr>
                <w:color w:val="auto"/>
                <w:sz w:val="24"/>
                <w:highlight w:val="none"/>
              </w:rPr>
            </w:pPr>
            <w:r>
              <w:rPr>
                <w:color w:val="auto"/>
                <w:sz w:val="24"/>
                <w:highlight w:val="none"/>
              </w:rPr>
              <w:t>拟在本工程任职</w:t>
            </w:r>
          </w:p>
        </w:tc>
        <w:tc>
          <w:tcPr>
            <w:tcW w:w="2265" w:type="dxa"/>
            <w:tcBorders>
              <w:top w:val="single" w:color="000000" w:sz="4" w:space="0"/>
              <w:left w:val="single" w:color="000000" w:sz="4" w:space="0"/>
              <w:bottom w:val="single" w:color="000000" w:sz="4" w:space="0"/>
            </w:tcBorders>
          </w:tcPr>
          <w:p>
            <w:pPr>
              <w:pStyle w:val="26"/>
              <w:spacing w:before="167"/>
              <w:ind w:left="665"/>
              <w:rPr>
                <w:color w:val="auto"/>
                <w:sz w:val="24"/>
                <w:highlight w:val="none"/>
              </w:rPr>
            </w:pPr>
            <w:r>
              <w:rPr>
                <w:color w:val="auto"/>
                <w:sz w:val="24"/>
                <w:highlight w:val="none"/>
              </w:rPr>
              <w:t>项目经理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3833" w:type="dxa"/>
            <w:gridSpan w:val="3"/>
            <w:tcBorders>
              <w:top w:val="single" w:color="000000" w:sz="4" w:space="0"/>
              <w:bottom w:val="single" w:color="000000" w:sz="4" w:space="0"/>
              <w:right w:val="single" w:color="000000" w:sz="4" w:space="0"/>
            </w:tcBorders>
          </w:tcPr>
          <w:p>
            <w:pPr>
              <w:pStyle w:val="26"/>
              <w:spacing w:before="170"/>
              <w:ind w:left="835"/>
              <w:rPr>
                <w:color w:val="auto"/>
                <w:sz w:val="24"/>
                <w:highlight w:val="none"/>
              </w:rPr>
            </w:pPr>
            <w:r>
              <w:rPr>
                <w:color w:val="auto"/>
                <w:sz w:val="24"/>
                <w:highlight w:val="none"/>
              </w:rPr>
              <w:t>注册建造师资格等级</w:t>
            </w:r>
          </w:p>
        </w:tc>
        <w:tc>
          <w:tcPr>
            <w:tcW w:w="1684" w:type="dxa"/>
            <w:gridSpan w:val="2"/>
            <w:tcBorders>
              <w:top w:val="single" w:color="000000" w:sz="4" w:space="0"/>
              <w:left w:val="single" w:color="000000" w:sz="4" w:space="0"/>
              <w:bottom w:val="single" w:color="000000" w:sz="4" w:space="0"/>
              <w:right w:val="single" w:color="000000" w:sz="4" w:space="0"/>
            </w:tcBorders>
          </w:tcPr>
          <w:p>
            <w:pPr>
              <w:pStyle w:val="26"/>
              <w:spacing w:before="170"/>
              <w:ind w:right="279"/>
              <w:jc w:val="right"/>
              <w:rPr>
                <w:color w:val="auto"/>
                <w:sz w:val="24"/>
                <w:highlight w:val="none"/>
              </w:rPr>
            </w:pPr>
            <w:r>
              <w:rPr>
                <w:color w:val="auto"/>
                <w:sz w:val="24"/>
                <w:highlight w:val="none"/>
              </w:rPr>
              <w:t>级</w:t>
            </w:r>
          </w:p>
        </w:tc>
        <w:tc>
          <w:tcPr>
            <w:tcW w:w="1931" w:type="dxa"/>
            <w:gridSpan w:val="2"/>
            <w:tcBorders>
              <w:top w:val="single" w:color="000000" w:sz="4" w:space="0"/>
              <w:left w:val="single" w:color="000000" w:sz="4" w:space="0"/>
              <w:bottom w:val="single" w:color="000000" w:sz="4" w:space="0"/>
              <w:right w:val="single" w:color="000000" w:sz="4" w:space="0"/>
            </w:tcBorders>
          </w:tcPr>
          <w:p>
            <w:pPr>
              <w:pStyle w:val="26"/>
              <w:spacing w:before="170"/>
              <w:ind w:left="376"/>
              <w:rPr>
                <w:color w:val="auto"/>
                <w:sz w:val="24"/>
                <w:highlight w:val="none"/>
              </w:rPr>
            </w:pPr>
            <w:r>
              <w:rPr>
                <w:color w:val="auto"/>
                <w:sz w:val="24"/>
                <w:highlight w:val="none"/>
              </w:rPr>
              <w:t>建造师专业</w:t>
            </w:r>
          </w:p>
        </w:tc>
        <w:tc>
          <w:tcPr>
            <w:tcW w:w="2265" w:type="dxa"/>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spacing w:before="170"/>
              <w:ind w:left="18"/>
              <w:jc w:val="center"/>
              <w:rPr>
                <w:color w:val="auto"/>
                <w:sz w:val="24"/>
                <w:highlight w:val="none"/>
              </w:rPr>
            </w:pPr>
            <w:r>
              <w:rPr>
                <w:color w:val="auto"/>
                <w:sz w:val="24"/>
                <w:highlight w:val="none"/>
              </w:rPr>
              <w:t>毕业学校</w:t>
            </w:r>
          </w:p>
        </w:tc>
        <w:tc>
          <w:tcPr>
            <w:tcW w:w="8455" w:type="dxa"/>
            <w:gridSpan w:val="7"/>
            <w:tcBorders>
              <w:top w:val="single" w:color="000000" w:sz="4" w:space="0"/>
              <w:left w:val="single" w:color="000000" w:sz="4" w:space="0"/>
              <w:bottom w:val="single" w:color="000000" w:sz="4" w:space="0"/>
            </w:tcBorders>
          </w:tcPr>
          <w:p>
            <w:pPr>
              <w:pStyle w:val="26"/>
              <w:tabs>
                <w:tab w:val="left" w:pos="2447"/>
                <w:tab w:val="left" w:pos="4728"/>
              </w:tabs>
              <w:spacing w:before="170"/>
              <w:ind w:left="47"/>
              <w:jc w:val="center"/>
              <w:rPr>
                <w:color w:val="auto"/>
                <w:sz w:val="24"/>
                <w:highlight w:val="none"/>
              </w:rPr>
            </w:pPr>
            <w:r>
              <w:rPr>
                <w:color w:val="auto"/>
                <w:sz w:val="24"/>
                <w:highlight w:val="none"/>
              </w:rPr>
              <w:t>年毕业于</w:t>
            </w:r>
            <w:r>
              <w:rPr>
                <w:color w:val="auto"/>
                <w:sz w:val="24"/>
                <w:highlight w:val="none"/>
              </w:rPr>
              <w:tab/>
            </w:r>
            <w:r>
              <w:rPr>
                <w:color w:val="auto"/>
                <w:sz w:val="24"/>
                <w:highlight w:val="none"/>
              </w:rPr>
              <w:t>学校</w:t>
            </w:r>
            <w:r>
              <w:rPr>
                <w:color w:val="auto"/>
                <w:sz w:val="24"/>
                <w:highlight w:val="none"/>
              </w:rPr>
              <w:tab/>
            </w:r>
            <w:r>
              <w:rPr>
                <w:color w:val="auto"/>
                <w:sz w:val="24"/>
                <w:highlight w:val="none"/>
              </w:rPr>
              <w:t>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9713" w:type="dxa"/>
            <w:gridSpan w:val="8"/>
            <w:tcBorders>
              <w:top w:val="single" w:color="000000" w:sz="4" w:space="0"/>
              <w:bottom w:val="single" w:color="000000" w:sz="4" w:space="0"/>
            </w:tcBorders>
          </w:tcPr>
          <w:p>
            <w:pPr>
              <w:pStyle w:val="26"/>
              <w:spacing w:before="170"/>
              <w:ind w:left="4118" w:right="4085"/>
              <w:jc w:val="center"/>
              <w:rPr>
                <w:color w:val="auto"/>
                <w:sz w:val="24"/>
                <w:highlight w:val="none"/>
              </w:rPr>
            </w:pPr>
            <w:r>
              <w:rPr>
                <w:color w:val="auto"/>
                <w:sz w:val="24"/>
                <w:highlight w:val="none"/>
              </w:rPr>
              <w:t>主要工作经历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tabs>
                <w:tab w:val="left" w:pos="499"/>
              </w:tabs>
              <w:spacing w:before="170"/>
              <w:ind w:left="19"/>
              <w:jc w:val="center"/>
              <w:rPr>
                <w:color w:val="auto"/>
                <w:sz w:val="24"/>
                <w:highlight w:val="none"/>
              </w:rPr>
            </w:pPr>
            <w:r>
              <w:rPr>
                <w:color w:val="auto"/>
                <w:sz w:val="24"/>
                <w:highlight w:val="none"/>
              </w:rPr>
              <w:t>时</w:t>
            </w:r>
            <w:r>
              <w:rPr>
                <w:color w:val="auto"/>
                <w:sz w:val="24"/>
                <w:highlight w:val="none"/>
              </w:rPr>
              <w:tab/>
            </w:r>
            <w:r>
              <w:rPr>
                <w:color w:val="auto"/>
                <w:sz w:val="24"/>
                <w:highlight w:val="none"/>
              </w:rPr>
              <w:t>间</w:t>
            </w: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spacing w:before="170"/>
              <w:ind w:left="465"/>
              <w:rPr>
                <w:color w:val="auto"/>
                <w:sz w:val="24"/>
                <w:highlight w:val="none"/>
              </w:rPr>
            </w:pPr>
            <w:r>
              <w:rPr>
                <w:color w:val="auto"/>
                <w:sz w:val="24"/>
                <w:highlight w:val="none"/>
              </w:rPr>
              <w:t>参加过的类似项目名称</w:t>
            </w: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spacing w:before="170"/>
              <w:ind w:left="459"/>
              <w:rPr>
                <w:color w:val="auto"/>
                <w:sz w:val="24"/>
                <w:highlight w:val="none"/>
              </w:rPr>
            </w:pPr>
            <w:r>
              <w:rPr>
                <w:color w:val="auto"/>
                <w:sz w:val="24"/>
                <w:highlight w:val="none"/>
              </w:rPr>
              <w:t>工程概况说明</w:t>
            </w:r>
          </w:p>
        </w:tc>
        <w:tc>
          <w:tcPr>
            <w:tcW w:w="2809" w:type="dxa"/>
            <w:gridSpan w:val="2"/>
            <w:tcBorders>
              <w:top w:val="single" w:color="000000" w:sz="4" w:space="0"/>
              <w:left w:val="single" w:color="000000" w:sz="4" w:space="0"/>
              <w:bottom w:val="single" w:color="000000" w:sz="4" w:space="0"/>
            </w:tcBorders>
          </w:tcPr>
          <w:p>
            <w:pPr>
              <w:pStyle w:val="26"/>
              <w:spacing w:before="170"/>
              <w:ind w:left="457"/>
              <w:rPr>
                <w:color w:val="auto"/>
                <w:sz w:val="24"/>
                <w:highlight w:val="none"/>
              </w:rPr>
            </w:pPr>
            <w:r>
              <w:rPr>
                <w:color w:val="auto"/>
                <w:sz w:val="24"/>
                <w:highlight w:val="none"/>
              </w:rPr>
              <w:t>发包人及联系电话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8" w:hRule="atLeast"/>
        </w:trPr>
        <w:tc>
          <w:tcPr>
            <w:tcW w:w="1258" w:type="dxa"/>
            <w:tcBorders>
              <w:top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tcBorders>
          </w:tcPr>
          <w:p>
            <w:pPr>
              <w:pStyle w:val="26"/>
              <w:rPr>
                <w:rFonts w:ascii="Times New Roman"/>
                <w:color w:val="auto"/>
                <w:sz w:val="22"/>
                <w:highlight w:val="none"/>
              </w:rPr>
            </w:pPr>
          </w:p>
        </w:tc>
      </w:tr>
    </w:tbl>
    <w:p>
      <w:pPr>
        <w:spacing w:after="0"/>
        <w:rPr>
          <w:rFonts w:ascii="Times New Roman"/>
          <w:color w:val="auto"/>
          <w:sz w:val="22"/>
          <w:highlight w:val="none"/>
        </w:rPr>
        <w:sectPr>
          <w:pgSz w:w="11910" w:h="16840"/>
          <w:pgMar w:top="1140" w:right="900" w:bottom="1200" w:left="900" w:header="0" w:footer="928" w:gutter="0"/>
        </w:sectPr>
      </w:pPr>
    </w:p>
    <w:p>
      <w:pPr>
        <w:spacing w:before="46"/>
        <w:ind w:left="232" w:right="0" w:firstLine="0"/>
        <w:jc w:val="left"/>
        <w:rPr>
          <w:b/>
          <w:color w:val="auto"/>
          <w:sz w:val="22"/>
          <w:highlight w:val="none"/>
        </w:rPr>
      </w:pPr>
      <w:bookmarkStart w:id="46" w:name="附2：项目总工简历表"/>
      <w:bookmarkEnd w:id="46"/>
      <w:r>
        <w:rPr>
          <w:b/>
          <w:color w:val="auto"/>
          <w:sz w:val="22"/>
          <w:highlight w:val="none"/>
        </w:rPr>
        <w:t>附 2：项目总工简历表</w:t>
      </w:r>
    </w:p>
    <w:p>
      <w:pPr>
        <w:spacing w:before="187"/>
        <w:ind w:left="232" w:right="0" w:firstLine="0"/>
        <w:jc w:val="left"/>
        <w:rPr>
          <w:b/>
          <w:color w:val="auto"/>
          <w:sz w:val="22"/>
          <w:highlight w:val="none"/>
        </w:rPr>
      </w:pPr>
      <w:bookmarkStart w:id="47" w:name="项目总工应附身份证、职称证、学历证、个人业绩证明。"/>
      <w:bookmarkEnd w:id="47"/>
      <w:r>
        <w:rPr>
          <w:b/>
          <w:color w:val="auto"/>
          <w:sz w:val="22"/>
          <w:highlight w:val="none"/>
        </w:rPr>
        <w:t>项目总工应附身份证、职称证。</w:t>
      </w:r>
    </w:p>
    <w:p>
      <w:pPr>
        <w:pStyle w:val="7"/>
        <w:spacing w:before="4"/>
        <w:ind w:left="0"/>
        <w:rPr>
          <w:b/>
          <w:color w:val="auto"/>
          <w:sz w:val="7"/>
          <w:highlight w:val="none"/>
        </w:rPr>
      </w:pPr>
    </w:p>
    <w:tbl>
      <w:tblPr>
        <w:tblStyle w:val="10"/>
        <w:tblW w:w="0" w:type="auto"/>
        <w:tblInd w:w="21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58"/>
        <w:gridCol w:w="1358"/>
        <w:gridCol w:w="1217"/>
        <w:gridCol w:w="734"/>
        <w:gridCol w:w="950"/>
        <w:gridCol w:w="1387"/>
        <w:gridCol w:w="544"/>
        <w:gridCol w:w="22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1258" w:type="dxa"/>
            <w:tcBorders>
              <w:bottom w:val="single" w:color="000000" w:sz="4" w:space="0"/>
              <w:right w:val="single" w:color="000000" w:sz="4" w:space="0"/>
            </w:tcBorders>
          </w:tcPr>
          <w:p>
            <w:pPr>
              <w:pStyle w:val="26"/>
              <w:tabs>
                <w:tab w:val="left" w:pos="499"/>
              </w:tabs>
              <w:spacing w:before="181"/>
              <w:ind w:left="19"/>
              <w:jc w:val="center"/>
              <w:rPr>
                <w:color w:val="auto"/>
                <w:sz w:val="24"/>
                <w:highlight w:val="none"/>
              </w:rPr>
            </w:pPr>
            <w:r>
              <w:rPr>
                <w:color w:val="auto"/>
                <w:sz w:val="24"/>
                <w:highlight w:val="none"/>
              </w:rPr>
              <w:t>姓</w:t>
            </w:r>
            <w:r>
              <w:rPr>
                <w:color w:val="auto"/>
                <w:sz w:val="24"/>
                <w:highlight w:val="none"/>
              </w:rPr>
              <w:tab/>
            </w:r>
            <w:r>
              <w:rPr>
                <w:color w:val="auto"/>
                <w:sz w:val="24"/>
                <w:highlight w:val="none"/>
              </w:rPr>
              <w:t>名</w:t>
            </w:r>
          </w:p>
        </w:tc>
        <w:tc>
          <w:tcPr>
            <w:tcW w:w="1358" w:type="dxa"/>
            <w:tcBorders>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1217" w:type="dxa"/>
            <w:tcBorders>
              <w:left w:val="single" w:color="000000" w:sz="4" w:space="0"/>
              <w:bottom w:val="single" w:color="000000" w:sz="4" w:space="0"/>
              <w:right w:val="single" w:color="000000" w:sz="4" w:space="0"/>
            </w:tcBorders>
          </w:tcPr>
          <w:p>
            <w:pPr>
              <w:pStyle w:val="26"/>
              <w:tabs>
                <w:tab w:val="left" w:pos="737"/>
              </w:tabs>
              <w:spacing w:before="181"/>
              <w:ind w:left="256"/>
              <w:rPr>
                <w:color w:val="auto"/>
                <w:sz w:val="24"/>
                <w:highlight w:val="none"/>
              </w:rPr>
            </w:pPr>
            <w:r>
              <w:rPr>
                <w:color w:val="auto"/>
                <w:sz w:val="24"/>
                <w:highlight w:val="none"/>
              </w:rPr>
              <w:t>年</w:t>
            </w:r>
            <w:r>
              <w:rPr>
                <w:color w:val="auto"/>
                <w:sz w:val="24"/>
                <w:highlight w:val="none"/>
              </w:rPr>
              <w:tab/>
            </w:r>
            <w:r>
              <w:rPr>
                <w:color w:val="auto"/>
                <w:sz w:val="24"/>
                <w:highlight w:val="none"/>
              </w:rPr>
              <w:t>龄</w:t>
            </w:r>
          </w:p>
        </w:tc>
        <w:tc>
          <w:tcPr>
            <w:tcW w:w="1684" w:type="dxa"/>
            <w:gridSpan w:val="2"/>
            <w:tcBorders>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1931" w:type="dxa"/>
            <w:gridSpan w:val="2"/>
            <w:tcBorders>
              <w:left w:val="single" w:color="000000" w:sz="4" w:space="0"/>
              <w:bottom w:val="single" w:color="000000" w:sz="4" w:space="0"/>
              <w:right w:val="single" w:color="000000" w:sz="4" w:space="0"/>
            </w:tcBorders>
          </w:tcPr>
          <w:p>
            <w:pPr>
              <w:pStyle w:val="26"/>
              <w:tabs>
                <w:tab w:val="left" w:pos="1096"/>
              </w:tabs>
              <w:spacing w:before="181"/>
              <w:ind w:left="616"/>
              <w:rPr>
                <w:color w:val="auto"/>
                <w:sz w:val="24"/>
                <w:highlight w:val="none"/>
              </w:rPr>
            </w:pPr>
            <w:r>
              <w:rPr>
                <w:color w:val="auto"/>
                <w:sz w:val="24"/>
                <w:highlight w:val="none"/>
              </w:rPr>
              <w:t>学</w:t>
            </w:r>
            <w:r>
              <w:rPr>
                <w:color w:val="auto"/>
                <w:sz w:val="24"/>
                <w:highlight w:val="none"/>
              </w:rPr>
              <w:tab/>
            </w:r>
            <w:r>
              <w:rPr>
                <w:color w:val="auto"/>
                <w:sz w:val="24"/>
                <w:highlight w:val="none"/>
              </w:rPr>
              <w:t>历</w:t>
            </w:r>
          </w:p>
        </w:tc>
        <w:tc>
          <w:tcPr>
            <w:tcW w:w="2265" w:type="dxa"/>
            <w:tcBorders>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tabs>
                <w:tab w:val="left" w:pos="499"/>
              </w:tabs>
              <w:spacing w:before="168"/>
              <w:ind w:left="19"/>
              <w:jc w:val="center"/>
              <w:rPr>
                <w:color w:val="auto"/>
                <w:sz w:val="24"/>
                <w:highlight w:val="none"/>
              </w:rPr>
            </w:pPr>
            <w:r>
              <w:rPr>
                <w:color w:val="auto"/>
                <w:sz w:val="24"/>
                <w:highlight w:val="none"/>
              </w:rPr>
              <w:t>职</w:t>
            </w:r>
            <w:r>
              <w:rPr>
                <w:color w:val="auto"/>
                <w:sz w:val="24"/>
                <w:highlight w:val="none"/>
              </w:rPr>
              <w:tab/>
            </w:r>
            <w:r>
              <w:rPr>
                <w:color w:val="auto"/>
                <w:sz w:val="24"/>
                <w:highlight w:val="none"/>
              </w:rPr>
              <w:t>称</w:t>
            </w:r>
          </w:p>
        </w:tc>
        <w:tc>
          <w:tcPr>
            <w:tcW w:w="1358" w:type="dxa"/>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pStyle w:val="26"/>
              <w:tabs>
                <w:tab w:val="left" w:pos="737"/>
              </w:tabs>
              <w:spacing w:before="168"/>
              <w:ind w:left="256"/>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1684"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1931" w:type="dxa"/>
            <w:gridSpan w:val="2"/>
            <w:tcBorders>
              <w:top w:val="single" w:color="000000" w:sz="4" w:space="0"/>
              <w:left w:val="single" w:color="000000" w:sz="4" w:space="0"/>
              <w:bottom w:val="single" w:color="000000" w:sz="4" w:space="0"/>
              <w:right w:val="single" w:color="000000" w:sz="4" w:space="0"/>
            </w:tcBorders>
          </w:tcPr>
          <w:p>
            <w:pPr>
              <w:pStyle w:val="26"/>
              <w:spacing w:before="168"/>
              <w:ind w:left="136"/>
              <w:rPr>
                <w:color w:val="auto"/>
                <w:sz w:val="24"/>
                <w:highlight w:val="none"/>
              </w:rPr>
            </w:pPr>
            <w:r>
              <w:rPr>
                <w:color w:val="auto"/>
                <w:sz w:val="24"/>
                <w:highlight w:val="none"/>
              </w:rPr>
              <w:t>拟在本工程任职</w:t>
            </w:r>
          </w:p>
        </w:tc>
        <w:tc>
          <w:tcPr>
            <w:tcW w:w="2265" w:type="dxa"/>
            <w:tcBorders>
              <w:top w:val="single" w:color="000000" w:sz="4" w:space="0"/>
              <w:left w:val="single" w:color="000000" w:sz="4" w:space="0"/>
              <w:bottom w:val="single" w:color="000000" w:sz="4" w:space="0"/>
            </w:tcBorders>
          </w:tcPr>
          <w:p>
            <w:pPr>
              <w:pStyle w:val="26"/>
              <w:spacing w:before="168"/>
              <w:ind w:left="665"/>
              <w:rPr>
                <w:color w:val="auto"/>
                <w:sz w:val="24"/>
                <w:highlight w:val="none"/>
              </w:rPr>
            </w:pPr>
            <w:r>
              <w:rPr>
                <w:color w:val="auto"/>
                <w:sz w:val="24"/>
                <w:highlight w:val="none"/>
              </w:rPr>
              <w:t>项目总工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3833" w:type="dxa"/>
            <w:gridSpan w:val="3"/>
            <w:tcBorders>
              <w:top w:val="single" w:color="000000" w:sz="4" w:space="0"/>
              <w:bottom w:val="single" w:color="000000" w:sz="4" w:space="0"/>
              <w:right w:val="single" w:color="000000" w:sz="4" w:space="0"/>
            </w:tcBorders>
          </w:tcPr>
          <w:p>
            <w:pPr>
              <w:pStyle w:val="26"/>
              <w:spacing w:before="170"/>
              <w:ind w:left="835"/>
              <w:rPr>
                <w:color w:val="auto"/>
                <w:sz w:val="24"/>
                <w:highlight w:val="none"/>
              </w:rPr>
            </w:pPr>
            <w:r>
              <w:rPr>
                <w:color w:val="auto"/>
                <w:sz w:val="24"/>
                <w:highlight w:val="none"/>
              </w:rPr>
              <w:t>注册建造师资格等级</w:t>
            </w:r>
          </w:p>
        </w:tc>
        <w:tc>
          <w:tcPr>
            <w:tcW w:w="1684" w:type="dxa"/>
            <w:gridSpan w:val="2"/>
            <w:tcBorders>
              <w:top w:val="single" w:color="000000" w:sz="4" w:space="0"/>
              <w:left w:val="single" w:color="000000" w:sz="4" w:space="0"/>
              <w:bottom w:val="single" w:color="000000" w:sz="4" w:space="0"/>
              <w:right w:val="single" w:color="000000" w:sz="4" w:space="0"/>
            </w:tcBorders>
          </w:tcPr>
          <w:p>
            <w:pPr>
              <w:pStyle w:val="26"/>
              <w:spacing w:before="170"/>
              <w:ind w:right="279"/>
              <w:jc w:val="right"/>
              <w:rPr>
                <w:color w:val="auto"/>
                <w:sz w:val="24"/>
                <w:highlight w:val="none"/>
              </w:rPr>
            </w:pPr>
            <w:r>
              <w:rPr>
                <w:color w:val="auto"/>
                <w:sz w:val="24"/>
                <w:highlight w:val="none"/>
              </w:rPr>
              <w:t>级</w:t>
            </w:r>
          </w:p>
        </w:tc>
        <w:tc>
          <w:tcPr>
            <w:tcW w:w="1931" w:type="dxa"/>
            <w:gridSpan w:val="2"/>
            <w:tcBorders>
              <w:top w:val="single" w:color="000000" w:sz="4" w:space="0"/>
              <w:left w:val="single" w:color="000000" w:sz="4" w:space="0"/>
              <w:bottom w:val="single" w:color="000000" w:sz="4" w:space="0"/>
              <w:right w:val="single" w:color="000000" w:sz="4" w:space="0"/>
            </w:tcBorders>
          </w:tcPr>
          <w:p>
            <w:pPr>
              <w:pStyle w:val="26"/>
              <w:spacing w:before="170"/>
              <w:ind w:left="376"/>
              <w:rPr>
                <w:color w:val="auto"/>
                <w:sz w:val="24"/>
                <w:highlight w:val="none"/>
              </w:rPr>
            </w:pPr>
            <w:r>
              <w:rPr>
                <w:color w:val="auto"/>
                <w:sz w:val="24"/>
                <w:highlight w:val="none"/>
              </w:rPr>
              <w:t>建造师专业</w:t>
            </w:r>
          </w:p>
        </w:tc>
        <w:tc>
          <w:tcPr>
            <w:tcW w:w="2265" w:type="dxa"/>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spacing w:before="170"/>
              <w:ind w:left="18"/>
              <w:jc w:val="center"/>
              <w:rPr>
                <w:color w:val="auto"/>
                <w:sz w:val="24"/>
                <w:highlight w:val="none"/>
              </w:rPr>
            </w:pPr>
            <w:r>
              <w:rPr>
                <w:color w:val="auto"/>
                <w:sz w:val="24"/>
                <w:highlight w:val="none"/>
              </w:rPr>
              <w:t>毕业学校</w:t>
            </w:r>
          </w:p>
        </w:tc>
        <w:tc>
          <w:tcPr>
            <w:tcW w:w="8455" w:type="dxa"/>
            <w:gridSpan w:val="7"/>
            <w:tcBorders>
              <w:top w:val="single" w:color="000000" w:sz="4" w:space="0"/>
              <w:left w:val="single" w:color="000000" w:sz="4" w:space="0"/>
              <w:bottom w:val="single" w:color="000000" w:sz="4" w:space="0"/>
            </w:tcBorders>
          </w:tcPr>
          <w:p>
            <w:pPr>
              <w:pStyle w:val="26"/>
              <w:tabs>
                <w:tab w:val="left" w:pos="2447"/>
                <w:tab w:val="left" w:pos="4728"/>
              </w:tabs>
              <w:spacing w:before="170"/>
              <w:ind w:left="47"/>
              <w:jc w:val="center"/>
              <w:rPr>
                <w:color w:val="auto"/>
                <w:sz w:val="24"/>
                <w:highlight w:val="none"/>
              </w:rPr>
            </w:pPr>
            <w:r>
              <w:rPr>
                <w:color w:val="auto"/>
                <w:sz w:val="24"/>
                <w:highlight w:val="none"/>
              </w:rPr>
              <w:t>年毕业于</w:t>
            </w:r>
            <w:r>
              <w:rPr>
                <w:color w:val="auto"/>
                <w:sz w:val="24"/>
                <w:highlight w:val="none"/>
              </w:rPr>
              <w:tab/>
            </w:r>
            <w:r>
              <w:rPr>
                <w:color w:val="auto"/>
                <w:sz w:val="24"/>
                <w:highlight w:val="none"/>
              </w:rPr>
              <w:t>学校</w:t>
            </w:r>
            <w:r>
              <w:rPr>
                <w:color w:val="auto"/>
                <w:sz w:val="24"/>
                <w:highlight w:val="none"/>
              </w:rPr>
              <w:tab/>
            </w:r>
            <w:r>
              <w:rPr>
                <w:color w:val="auto"/>
                <w:sz w:val="24"/>
                <w:highlight w:val="none"/>
              </w:rPr>
              <w:t>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9" w:hRule="atLeast"/>
        </w:trPr>
        <w:tc>
          <w:tcPr>
            <w:tcW w:w="9713" w:type="dxa"/>
            <w:gridSpan w:val="8"/>
            <w:tcBorders>
              <w:top w:val="single" w:color="000000" w:sz="4" w:space="0"/>
              <w:bottom w:val="single" w:color="000000" w:sz="4" w:space="0"/>
            </w:tcBorders>
          </w:tcPr>
          <w:p>
            <w:pPr>
              <w:pStyle w:val="26"/>
              <w:spacing w:before="170"/>
              <w:ind w:left="4118" w:right="4085"/>
              <w:jc w:val="center"/>
              <w:rPr>
                <w:color w:val="auto"/>
                <w:sz w:val="24"/>
                <w:highlight w:val="none"/>
              </w:rPr>
            </w:pPr>
            <w:r>
              <w:rPr>
                <w:color w:val="auto"/>
                <w:sz w:val="24"/>
                <w:highlight w:val="none"/>
              </w:rPr>
              <w:t>主要工作经历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3" w:hRule="atLeast"/>
        </w:trPr>
        <w:tc>
          <w:tcPr>
            <w:tcW w:w="1258" w:type="dxa"/>
            <w:tcBorders>
              <w:top w:val="single" w:color="000000" w:sz="4" w:space="0"/>
              <w:bottom w:val="single" w:color="000000" w:sz="4" w:space="0"/>
              <w:right w:val="single" w:color="000000" w:sz="4" w:space="0"/>
            </w:tcBorders>
          </w:tcPr>
          <w:p>
            <w:pPr>
              <w:pStyle w:val="26"/>
              <w:tabs>
                <w:tab w:val="left" w:pos="499"/>
              </w:tabs>
              <w:spacing w:before="170"/>
              <w:ind w:left="19"/>
              <w:jc w:val="center"/>
              <w:rPr>
                <w:color w:val="auto"/>
                <w:sz w:val="24"/>
                <w:highlight w:val="none"/>
              </w:rPr>
            </w:pPr>
            <w:r>
              <w:rPr>
                <w:color w:val="auto"/>
                <w:sz w:val="24"/>
                <w:highlight w:val="none"/>
              </w:rPr>
              <w:t>时</w:t>
            </w:r>
            <w:r>
              <w:rPr>
                <w:color w:val="auto"/>
                <w:sz w:val="24"/>
                <w:highlight w:val="none"/>
              </w:rPr>
              <w:tab/>
            </w:r>
            <w:r>
              <w:rPr>
                <w:color w:val="auto"/>
                <w:sz w:val="24"/>
                <w:highlight w:val="none"/>
              </w:rPr>
              <w:t>间</w:t>
            </w: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spacing w:before="170"/>
              <w:ind w:left="465"/>
              <w:rPr>
                <w:color w:val="auto"/>
                <w:sz w:val="24"/>
                <w:highlight w:val="none"/>
              </w:rPr>
            </w:pPr>
            <w:r>
              <w:rPr>
                <w:color w:val="auto"/>
                <w:sz w:val="24"/>
                <w:highlight w:val="none"/>
              </w:rPr>
              <w:t>参加过的类似项目名称</w:t>
            </w: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spacing w:before="170"/>
              <w:ind w:left="459"/>
              <w:rPr>
                <w:color w:val="auto"/>
                <w:sz w:val="24"/>
                <w:highlight w:val="none"/>
              </w:rPr>
            </w:pPr>
            <w:r>
              <w:rPr>
                <w:color w:val="auto"/>
                <w:sz w:val="24"/>
                <w:highlight w:val="none"/>
              </w:rPr>
              <w:t>工程概况说明</w:t>
            </w:r>
          </w:p>
        </w:tc>
        <w:tc>
          <w:tcPr>
            <w:tcW w:w="2809" w:type="dxa"/>
            <w:gridSpan w:val="2"/>
            <w:tcBorders>
              <w:top w:val="single" w:color="000000" w:sz="4" w:space="0"/>
              <w:left w:val="single" w:color="000000" w:sz="4" w:space="0"/>
              <w:bottom w:val="single" w:color="000000" w:sz="4" w:space="0"/>
            </w:tcBorders>
          </w:tcPr>
          <w:p>
            <w:pPr>
              <w:pStyle w:val="26"/>
              <w:spacing w:before="170"/>
              <w:ind w:left="457"/>
              <w:rPr>
                <w:color w:val="auto"/>
                <w:sz w:val="24"/>
                <w:highlight w:val="none"/>
              </w:rPr>
            </w:pPr>
            <w:r>
              <w:rPr>
                <w:color w:val="auto"/>
                <w:sz w:val="24"/>
                <w:highlight w:val="none"/>
              </w:rPr>
              <w:t>发包人及联系电话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9"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58" w:type="dxa"/>
            <w:tcBorders>
              <w:top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bottom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bottom w:val="single" w:color="000000" w:sz="4" w:space="0"/>
            </w:tcBorders>
          </w:tcPr>
          <w:p>
            <w:pPr>
              <w:pStyle w:val="26"/>
              <w:rPr>
                <w:rFonts w:ascii="Times New Roman"/>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8" w:hRule="atLeast"/>
        </w:trPr>
        <w:tc>
          <w:tcPr>
            <w:tcW w:w="1258" w:type="dxa"/>
            <w:tcBorders>
              <w:top w:val="single" w:color="000000" w:sz="4" w:space="0"/>
              <w:right w:val="single" w:color="000000" w:sz="4" w:space="0"/>
            </w:tcBorders>
          </w:tcPr>
          <w:p>
            <w:pPr>
              <w:pStyle w:val="26"/>
              <w:rPr>
                <w:rFonts w:ascii="Times New Roman"/>
                <w:color w:val="auto"/>
                <w:sz w:val="22"/>
                <w:highlight w:val="none"/>
              </w:rPr>
            </w:pPr>
          </w:p>
        </w:tc>
        <w:tc>
          <w:tcPr>
            <w:tcW w:w="3309" w:type="dxa"/>
            <w:gridSpan w:val="3"/>
            <w:tcBorders>
              <w:top w:val="single" w:color="000000" w:sz="4" w:space="0"/>
              <w:left w:val="single" w:color="000000" w:sz="4" w:space="0"/>
              <w:right w:val="single" w:color="000000" w:sz="4" w:space="0"/>
            </w:tcBorders>
          </w:tcPr>
          <w:p>
            <w:pPr>
              <w:pStyle w:val="26"/>
              <w:rPr>
                <w:rFonts w:ascii="Times New Roman"/>
                <w:color w:val="auto"/>
                <w:sz w:val="22"/>
                <w:highlight w:val="none"/>
              </w:rPr>
            </w:pPr>
          </w:p>
        </w:tc>
        <w:tc>
          <w:tcPr>
            <w:tcW w:w="2337" w:type="dxa"/>
            <w:gridSpan w:val="2"/>
            <w:tcBorders>
              <w:top w:val="single" w:color="000000" w:sz="4" w:space="0"/>
              <w:left w:val="single" w:color="000000" w:sz="4" w:space="0"/>
              <w:right w:val="single" w:color="000000" w:sz="4" w:space="0"/>
            </w:tcBorders>
          </w:tcPr>
          <w:p>
            <w:pPr>
              <w:pStyle w:val="26"/>
              <w:rPr>
                <w:rFonts w:ascii="Times New Roman"/>
                <w:color w:val="auto"/>
                <w:sz w:val="22"/>
                <w:highlight w:val="none"/>
              </w:rPr>
            </w:pPr>
          </w:p>
        </w:tc>
        <w:tc>
          <w:tcPr>
            <w:tcW w:w="2809" w:type="dxa"/>
            <w:gridSpan w:val="2"/>
            <w:tcBorders>
              <w:top w:val="single" w:color="000000" w:sz="4" w:space="0"/>
              <w:left w:val="single" w:color="000000" w:sz="4" w:space="0"/>
            </w:tcBorders>
          </w:tcPr>
          <w:p>
            <w:pPr>
              <w:pStyle w:val="26"/>
              <w:rPr>
                <w:rFonts w:ascii="Times New Roman"/>
                <w:color w:val="auto"/>
                <w:sz w:val="22"/>
                <w:highlight w:val="none"/>
              </w:rPr>
            </w:pPr>
          </w:p>
        </w:tc>
      </w:tr>
    </w:tbl>
    <w:p>
      <w:pPr>
        <w:spacing w:after="0"/>
        <w:rPr>
          <w:rFonts w:ascii="Times New Roman"/>
          <w:color w:val="auto"/>
          <w:sz w:val="22"/>
          <w:highlight w:val="none"/>
        </w:rPr>
        <w:sectPr>
          <w:pgSz w:w="11910" w:h="16840"/>
          <w:pgMar w:top="1160" w:right="900" w:bottom="1200" w:left="900" w:header="0" w:footer="928" w:gutter="0"/>
        </w:sectPr>
      </w:pPr>
    </w:p>
    <w:p>
      <w:pPr>
        <w:pStyle w:val="7"/>
        <w:spacing w:before="5"/>
        <w:ind w:left="0"/>
        <w:rPr>
          <w:b/>
          <w:color w:val="auto"/>
          <w:sz w:val="13"/>
          <w:highlight w:val="none"/>
        </w:rPr>
      </w:pPr>
    </w:p>
    <w:p>
      <w:pPr>
        <w:pStyle w:val="6"/>
        <w:spacing w:before="66"/>
        <w:rPr>
          <w:color w:val="auto"/>
          <w:highlight w:val="none"/>
        </w:rPr>
      </w:pPr>
      <w:r>
        <w:rPr>
          <w:color w:val="auto"/>
          <w:highlight w:val="none"/>
        </w:rPr>
        <w:t>附 3：项目其他人员简历表</w:t>
      </w:r>
    </w:p>
    <w:p>
      <w:pPr>
        <w:spacing w:before="161" w:line="364" w:lineRule="auto"/>
        <w:ind w:left="232" w:right="111" w:firstLine="482"/>
        <w:jc w:val="left"/>
        <w:rPr>
          <w:b/>
          <w:color w:val="auto"/>
          <w:sz w:val="24"/>
          <w:highlight w:val="none"/>
        </w:rPr>
      </w:pPr>
      <w:r>
        <w:rPr>
          <w:color w:val="auto"/>
          <w:highlight w:val="none"/>
        </w:rPr>
        <w:pict>
          <v:shape id="_x0000_s1035" o:spid="_x0000_s1035" o:spt="202" type="#_x0000_t202" style="position:absolute;left:0pt;margin-left:54.8pt;margin-top:50.85pt;height:509pt;width:486.25pt;mso-position-horizontal-relative:page;z-index:251668480;mso-width-relative:page;mso-height-relative:page;" filled="f" stroked="f" coordsize="21600,21600">
            <v:path/>
            <v:fill on="f" focussize="0,0"/>
            <v:stroke on="f" joinstyle="miter"/>
            <v:imagedata o:title=""/>
            <o:lock v:ext="edit"/>
            <v:textbox inset="0mm,0mm,0mm,0mm">
              <w:txbxContent>
                <w:tbl>
                  <w:tblPr>
                    <w:tblStyle w:val="10"/>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1"/>
                    <w:gridCol w:w="1071"/>
                    <w:gridCol w:w="2512"/>
                    <w:gridCol w:w="1259"/>
                    <w:gridCol w:w="1257"/>
                    <w:gridCol w:w="25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3" w:hRule="atLeast"/>
                    </w:trPr>
                    <w:tc>
                      <w:tcPr>
                        <w:tcW w:w="2142" w:type="dxa"/>
                        <w:gridSpan w:val="2"/>
                        <w:tcBorders>
                          <w:bottom w:val="single" w:color="000000" w:sz="4" w:space="0"/>
                          <w:right w:val="single" w:color="000000" w:sz="4" w:space="0"/>
                        </w:tcBorders>
                      </w:tcPr>
                      <w:p>
                        <w:pPr>
                          <w:pStyle w:val="26"/>
                          <w:spacing w:before="3"/>
                          <w:rPr>
                            <w:b/>
                            <w:sz w:val="21"/>
                          </w:rPr>
                        </w:pPr>
                      </w:p>
                      <w:p>
                        <w:pPr>
                          <w:pStyle w:val="26"/>
                          <w:spacing w:before="1"/>
                          <w:ind w:left="590"/>
                          <w:rPr>
                            <w:sz w:val="24"/>
                          </w:rPr>
                        </w:pPr>
                        <w:r>
                          <w:rPr>
                            <w:sz w:val="24"/>
                          </w:rPr>
                          <w:t>岗位名称</w:t>
                        </w:r>
                      </w:p>
                    </w:tc>
                    <w:tc>
                      <w:tcPr>
                        <w:tcW w:w="7545" w:type="dxa"/>
                        <w:gridSpan w:val="4"/>
                        <w:tcBorders>
                          <w:left w:val="single" w:color="000000" w:sz="4" w:space="0"/>
                          <w:bottom w:val="single" w:color="000000" w:sz="4" w:space="0"/>
                        </w:tcBorders>
                      </w:tcPr>
                      <w:p>
                        <w:pPr>
                          <w:pStyle w:val="26"/>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4" w:hRule="atLeast"/>
                    </w:trPr>
                    <w:tc>
                      <w:tcPr>
                        <w:tcW w:w="1071" w:type="dxa"/>
                        <w:tcBorders>
                          <w:top w:val="single" w:color="000000" w:sz="4" w:space="0"/>
                          <w:bottom w:val="single" w:color="000000" w:sz="4" w:space="0"/>
                          <w:right w:val="nil"/>
                        </w:tcBorders>
                      </w:tcPr>
                      <w:p>
                        <w:pPr>
                          <w:pStyle w:val="26"/>
                          <w:spacing w:before="5"/>
                          <w:rPr>
                            <w:b/>
                            <w:sz w:val="20"/>
                          </w:rPr>
                        </w:pPr>
                      </w:p>
                      <w:p>
                        <w:pPr>
                          <w:pStyle w:val="26"/>
                          <w:ind w:right="223"/>
                          <w:jc w:val="right"/>
                          <w:rPr>
                            <w:sz w:val="24"/>
                          </w:rPr>
                        </w:pPr>
                        <w:r>
                          <w:rPr>
                            <w:sz w:val="24"/>
                          </w:rPr>
                          <w:t>姓</w:t>
                        </w:r>
                      </w:p>
                    </w:tc>
                    <w:tc>
                      <w:tcPr>
                        <w:tcW w:w="1071" w:type="dxa"/>
                        <w:tcBorders>
                          <w:top w:val="single" w:color="000000" w:sz="4" w:space="0"/>
                          <w:left w:val="nil"/>
                          <w:bottom w:val="single" w:color="000000" w:sz="4" w:space="0"/>
                          <w:right w:val="single" w:color="000000" w:sz="4" w:space="0"/>
                        </w:tcBorders>
                      </w:tcPr>
                      <w:p>
                        <w:pPr>
                          <w:pStyle w:val="26"/>
                          <w:spacing w:before="5"/>
                          <w:rPr>
                            <w:b/>
                            <w:sz w:val="20"/>
                          </w:rPr>
                        </w:pPr>
                      </w:p>
                      <w:p>
                        <w:pPr>
                          <w:pStyle w:val="26"/>
                          <w:ind w:left="254"/>
                          <w:rPr>
                            <w:sz w:val="24"/>
                          </w:rPr>
                        </w:pPr>
                        <w:r>
                          <w:rPr>
                            <w:sz w:val="24"/>
                          </w:rPr>
                          <w:t>名</w:t>
                        </w:r>
                      </w:p>
                    </w:tc>
                    <w:tc>
                      <w:tcPr>
                        <w:tcW w:w="2512" w:type="dxa"/>
                        <w:tcBorders>
                          <w:top w:val="single" w:color="000000" w:sz="4" w:space="0"/>
                          <w:left w:val="single" w:color="000000" w:sz="4" w:space="0"/>
                          <w:bottom w:val="single" w:color="000000" w:sz="4" w:space="0"/>
                          <w:right w:val="single" w:color="000000" w:sz="4" w:space="0"/>
                        </w:tcBorders>
                      </w:tcPr>
                      <w:p>
                        <w:pPr>
                          <w:pStyle w:val="26"/>
                          <w:rPr>
                            <w:rFonts w:ascii="Times New Roman"/>
                            <w:sz w:val="22"/>
                          </w:rPr>
                        </w:pPr>
                      </w:p>
                    </w:tc>
                    <w:tc>
                      <w:tcPr>
                        <w:tcW w:w="1259" w:type="dxa"/>
                        <w:tcBorders>
                          <w:top w:val="single" w:color="000000" w:sz="4" w:space="0"/>
                          <w:left w:val="single" w:color="000000" w:sz="4" w:space="0"/>
                          <w:bottom w:val="single" w:color="000000" w:sz="4" w:space="0"/>
                          <w:right w:val="nil"/>
                        </w:tcBorders>
                      </w:tcPr>
                      <w:p>
                        <w:pPr>
                          <w:pStyle w:val="26"/>
                          <w:spacing w:before="5"/>
                          <w:rPr>
                            <w:b/>
                            <w:sz w:val="20"/>
                          </w:rPr>
                        </w:pPr>
                      </w:p>
                      <w:p>
                        <w:pPr>
                          <w:pStyle w:val="26"/>
                          <w:ind w:left="785"/>
                          <w:rPr>
                            <w:sz w:val="24"/>
                          </w:rPr>
                        </w:pPr>
                        <w:r>
                          <w:rPr>
                            <w:sz w:val="24"/>
                          </w:rPr>
                          <w:t>年</w:t>
                        </w:r>
                      </w:p>
                    </w:tc>
                    <w:tc>
                      <w:tcPr>
                        <w:tcW w:w="1257" w:type="dxa"/>
                        <w:tcBorders>
                          <w:top w:val="single" w:color="000000" w:sz="4" w:space="0"/>
                          <w:left w:val="nil"/>
                          <w:bottom w:val="single" w:color="000000" w:sz="4" w:space="0"/>
                          <w:right w:val="single" w:color="000000" w:sz="4" w:space="0"/>
                        </w:tcBorders>
                      </w:tcPr>
                      <w:p>
                        <w:pPr>
                          <w:pStyle w:val="26"/>
                          <w:spacing w:before="5"/>
                          <w:rPr>
                            <w:b/>
                            <w:sz w:val="20"/>
                          </w:rPr>
                        </w:pPr>
                      </w:p>
                      <w:p>
                        <w:pPr>
                          <w:pStyle w:val="26"/>
                          <w:ind w:left="251"/>
                          <w:rPr>
                            <w:sz w:val="24"/>
                          </w:rPr>
                        </w:pPr>
                        <w:r>
                          <w:rPr>
                            <w:sz w:val="24"/>
                          </w:rPr>
                          <w:t>龄</w:t>
                        </w:r>
                      </w:p>
                    </w:tc>
                    <w:tc>
                      <w:tcPr>
                        <w:tcW w:w="2517" w:type="dxa"/>
                        <w:tcBorders>
                          <w:top w:val="single" w:color="000000" w:sz="4" w:space="0"/>
                          <w:left w:val="single" w:color="000000" w:sz="4" w:space="0"/>
                          <w:bottom w:val="single" w:color="000000" w:sz="4" w:space="0"/>
                        </w:tcBorders>
                      </w:tcPr>
                      <w:p>
                        <w:pPr>
                          <w:pStyle w:val="26"/>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2" w:hRule="atLeast"/>
                    </w:trPr>
                    <w:tc>
                      <w:tcPr>
                        <w:tcW w:w="1071" w:type="dxa"/>
                        <w:tcBorders>
                          <w:top w:val="single" w:color="000000" w:sz="4" w:space="0"/>
                          <w:bottom w:val="single" w:color="000000" w:sz="4" w:space="0"/>
                          <w:right w:val="nil"/>
                        </w:tcBorders>
                      </w:tcPr>
                      <w:p>
                        <w:pPr>
                          <w:pStyle w:val="26"/>
                          <w:spacing w:before="2"/>
                          <w:rPr>
                            <w:b/>
                            <w:sz w:val="20"/>
                          </w:rPr>
                        </w:pPr>
                      </w:p>
                      <w:p>
                        <w:pPr>
                          <w:pStyle w:val="26"/>
                          <w:ind w:right="223"/>
                          <w:jc w:val="right"/>
                          <w:rPr>
                            <w:sz w:val="24"/>
                          </w:rPr>
                        </w:pPr>
                        <w:r>
                          <w:rPr>
                            <w:sz w:val="24"/>
                          </w:rPr>
                          <w:t>性</w:t>
                        </w:r>
                      </w:p>
                    </w:tc>
                    <w:tc>
                      <w:tcPr>
                        <w:tcW w:w="1071" w:type="dxa"/>
                        <w:tcBorders>
                          <w:top w:val="single" w:color="000000" w:sz="4" w:space="0"/>
                          <w:left w:val="nil"/>
                          <w:bottom w:val="single" w:color="000000" w:sz="4" w:space="0"/>
                          <w:right w:val="single" w:color="000000" w:sz="4" w:space="0"/>
                        </w:tcBorders>
                      </w:tcPr>
                      <w:p>
                        <w:pPr>
                          <w:pStyle w:val="26"/>
                          <w:spacing w:before="2"/>
                          <w:rPr>
                            <w:b/>
                            <w:sz w:val="20"/>
                          </w:rPr>
                        </w:pPr>
                      </w:p>
                      <w:p>
                        <w:pPr>
                          <w:pStyle w:val="26"/>
                          <w:ind w:left="254"/>
                          <w:rPr>
                            <w:sz w:val="24"/>
                          </w:rPr>
                        </w:pPr>
                        <w:r>
                          <w:rPr>
                            <w:sz w:val="24"/>
                          </w:rPr>
                          <w:t>别</w:t>
                        </w:r>
                      </w:p>
                    </w:tc>
                    <w:tc>
                      <w:tcPr>
                        <w:tcW w:w="2512" w:type="dxa"/>
                        <w:tcBorders>
                          <w:top w:val="single" w:color="000000" w:sz="4" w:space="0"/>
                          <w:left w:val="single" w:color="000000" w:sz="4" w:space="0"/>
                          <w:bottom w:val="single" w:color="000000" w:sz="4" w:space="0"/>
                          <w:right w:val="single" w:color="000000" w:sz="4" w:space="0"/>
                        </w:tcBorders>
                      </w:tcPr>
                      <w:p>
                        <w:pPr>
                          <w:pStyle w:val="26"/>
                          <w:rPr>
                            <w:rFonts w:ascii="Times New Roman"/>
                            <w:sz w:val="22"/>
                          </w:rPr>
                        </w:pPr>
                      </w:p>
                    </w:tc>
                    <w:tc>
                      <w:tcPr>
                        <w:tcW w:w="2516" w:type="dxa"/>
                        <w:gridSpan w:val="2"/>
                        <w:tcBorders>
                          <w:top w:val="single" w:color="000000" w:sz="4" w:space="0"/>
                          <w:left w:val="single" w:color="000000" w:sz="4" w:space="0"/>
                          <w:bottom w:val="single" w:color="000000" w:sz="4" w:space="0"/>
                          <w:right w:val="single" w:color="000000" w:sz="4" w:space="0"/>
                        </w:tcBorders>
                      </w:tcPr>
                      <w:p>
                        <w:pPr>
                          <w:pStyle w:val="26"/>
                          <w:spacing w:before="2"/>
                          <w:rPr>
                            <w:b/>
                            <w:sz w:val="20"/>
                          </w:rPr>
                        </w:pPr>
                      </w:p>
                      <w:p>
                        <w:pPr>
                          <w:pStyle w:val="26"/>
                          <w:ind w:left="785"/>
                          <w:rPr>
                            <w:sz w:val="24"/>
                          </w:rPr>
                        </w:pPr>
                        <w:r>
                          <w:rPr>
                            <w:sz w:val="24"/>
                          </w:rPr>
                          <w:t>毕业学校</w:t>
                        </w:r>
                      </w:p>
                    </w:tc>
                    <w:tc>
                      <w:tcPr>
                        <w:tcW w:w="2517" w:type="dxa"/>
                        <w:tcBorders>
                          <w:top w:val="single" w:color="000000" w:sz="4" w:space="0"/>
                          <w:left w:val="single" w:color="000000" w:sz="4" w:space="0"/>
                          <w:bottom w:val="single" w:color="000000" w:sz="4" w:space="0"/>
                        </w:tcBorders>
                      </w:tcPr>
                      <w:p>
                        <w:pPr>
                          <w:pStyle w:val="26"/>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2" w:hRule="atLeast"/>
                    </w:trPr>
                    <w:tc>
                      <w:tcPr>
                        <w:tcW w:w="2142" w:type="dxa"/>
                        <w:gridSpan w:val="2"/>
                        <w:tcBorders>
                          <w:top w:val="single" w:color="000000" w:sz="4" w:space="0"/>
                          <w:bottom w:val="single" w:color="000000" w:sz="4" w:space="0"/>
                          <w:right w:val="single" w:color="000000" w:sz="4" w:space="0"/>
                        </w:tcBorders>
                      </w:tcPr>
                      <w:p>
                        <w:pPr>
                          <w:pStyle w:val="26"/>
                          <w:spacing w:before="5"/>
                          <w:rPr>
                            <w:b/>
                            <w:sz w:val="20"/>
                          </w:rPr>
                        </w:pPr>
                      </w:p>
                      <w:p>
                        <w:pPr>
                          <w:pStyle w:val="26"/>
                          <w:ind w:left="470"/>
                          <w:rPr>
                            <w:sz w:val="24"/>
                          </w:rPr>
                        </w:pPr>
                        <w:r>
                          <w:rPr>
                            <w:sz w:val="24"/>
                          </w:rPr>
                          <w:t>学历和专业</w:t>
                        </w:r>
                      </w:p>
                    </w:tc>
                    <w:tc>
                      <w:tcPr>
                        <w:tcW w:w="2512" w:type="dxa"/>
                        <w:tcBorders>
                          <w:top w:val="single" w:color="000000" w:sz="4" w:space="0"/>
                          <w:left w:val="single" w:color="000000" w:sz="4" w:space="0"/>
                          <w:bottom w:val="single" w:color="000000" w:sz="4" w:space="0"/>
                          <w:right w:val="single" w:color="000000" w:sz="4" w:space="0"/>
                        </w:tcBorders>
                      </w:tcPr>
                      <w:p>
                        <w:pPr>
                          <w:pStyle w:val="26"/>
                          <w:rPr>
                            <w:rFonts w:ascii="Times New Roman"/>
                            <w:sz w:val="22"/>
                          </w:rPr>
                        </w:pPr>
                      </w:p>
                    </w:tc>
                    <w:tc>
                      <w:tcPr>
                        <w:tcW w:w="2516" w:type="dxa"/>
                        <w:gridSpan w:val="2"/>
                        <w:tcBorders>
                          <w:top w:val="single" w:color="000000" w:sz="4" w:space="0"/>
                          <w:left w:val="single" w:color="000000" w:sz="4" w:space="0"/>
                          <w:bottom w:val="single" w:color="000000" w:sz="4" w:space="0"/>
                          <w:right w:val="single" w:color="000000" w:sz="4" w:space="0"/>
                        </w:tcBorders>
                      </w:tcPr>
                      <w:p>
                        <w:pPr>
                          <w:pStyle w:val="26"/>
                          <w:spacing w:before="5"/>
                          <w:rPr>
                            <w:b/>
                            <w:sz w:val="20"/>
                          </w:rPr>
                        </w:pPr>
                      </w:p>
                      <w:p>
                        <w:pPr>
                          <w:pStyle w:val="26"/>
                          <w:ind w:left="785"/>
                          <w:rPr>
                            <w:sz w:val="24"/>
                          </w:rPr>
                        </w:pPr>
                        <w:r>
                          <w:rPr>
                            <w:sz w:val="24"/>
                          </w:rPr>
                          <w:t>毕业时间</w:t>
                        </w:r>
                      </w:p>
                    </w:tc>
                    <w:tc>
                      <w:tcPr>
                        <w:tcW w:w="2517" w:type="dxa"/>
                        <w:tcBorders>
                          <w:top w:val="single" w:color="000000" w:sz="4" w:space="0"/>
                          <w:left w:val="single" w:color="000000" w:sz="4" w:space="0"/>
                          <w:bottom w:val="single" w:color="000000" w:sz="4" w:space="0"/>
                        </w:tcBorders>
                      </w:tcPr>
                      <w:p>
                        <w:pPr>
                          <w:pStyle w:val="26"/>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2" w:hRule="atLeast"/>
                    </w:trPr>
                    <w:tc>
                      <w:tcPr>
                        <w:tcW w:w="2142" w:type="dxa"/>
                        <w:gridSpan w:val="2"/>
                        <w:tcBorders>
                          <w:top w:val="single" w:color="000000" w:sz="4" w:space="0"/>
                          <w:bottom w:val="single" w:color="000000" w:sz="4" w:space="0"/>
                          <w:right w:val="single" w:color="000000" w:sz="4" w:space="0"/>
                        </w:tcBorders>
                      </w:tcPr>
                      <w:p>
                        <w:pPr>
                          <w:pStyle w:val="26"/>
                          <w:spacing w:before="5"/>
                          <w:rPr>
                            <w:b/>
                            <w:sz w:val="20"/>
                          </w:rPr>
                        </w:pPr>
                      </w:p>
                      <w:p>
                        <w:pPr>
                          <w:pStyle w:val="26"/>
                          <w:ind w:left="230"/>
                          <w:rPr>
                            <w:sz w:val="24"/>
                          </w:rPr>
                        </w:pPr>
                        <w:r>
                          <w:rPr>
                            <w:sz w:val="24"/>
                          </w:rPr>
                          <w:t>拥有的执业资格</w:t>
                        </w:r>
                      </w:p>
                    </w:tc>
                    <w:tc>
                      <w:tcPr>
                        <w:tcW w:w="2512" w:type="dxa"/>
                        <w:tcBorders>
                          <w:top w:val="single" w:color="000000" w:sz="4" w:space="0"/>
                          <w:left w:val="single" w:color="000000" w:sz="4" w:space="0"/>
                          <w:bottom w:val="single" w:color="000000" w:sz="4" w:space="0"/>
                          <w:right w:val="single" w:color="000000" w:sz="4" w:space="0"/>
                        </w:tcBorders>
                      </w:tcPr>
                      <w:p>
                        <w:pPr>
                          <w:pStyle w:val="26"/>
                          <w:rPr>
                            <w:rFonts w:ascii="Times New Roman"/>
                            <w:sz w:val="22"/>
                          </w:rPr>
                        </w:pPr>
                      </w:p>
                    </w:tc>
                    <w:tc>
                      <w:tcPr>
                        <w:tcW w:w="2516" w:type="dxa"/>
                        <w:gridSpan w:val="2"/>
                        <w:tcBorders>
                          <w:top w:val="single" w:color="000000" w:sz="4" w:space="0"/>
                          <w:left w:val="single" w:color="000000" w:sz="4" w:space="0"/>
                          <w:bottom w:val="single" w:color="000000" w:sz="4" w:space="0"/>
                          <w:right w:val="single" w:color="000000" w:sz="4" w:space="0"/>
                        </w:tcBorders>
                      </w:tcPr>
                      <w:p>
                        <w:pPr>
                          <w:pStyle w:val="26"/>
                          <w:spacing w:before="5"/>
                          <w:rPr>
                            <w:b/>
                            <w:sz w:val="20"/>
                          </w:rPr>
                        </w:pPr>
                      </w:p>
                      <w:p>
                        <w:pPr>
                          <w:pStyle w:val="26"/>
                          <w:ind w:left="785"/>
                          <w:rPr>
                            <w:sz w:val="24"/>
                          </w:rPr>
                        </w:pPr>
                        <w:r>
                          <w:rPr>
                            <w:sz w:val="24"/>
                          </w:rPr>
                          <w:t>专业职称</w:t>
                        </w:r>
                      </w:p>
                    </w:tc>
                    <w:tc>
                      <w:tcPr>
                        <w:tcW w:w="2517" w:type="dxa"/>
                        <w:tcBorders>
                          <w:top w:val="single" w:color="000000" w:sz="4" w:space="0"/>
                          <w:left w:val="single" w:color="000000" w:sz="4" w:space="0"/>
                          <w:bottom w:val="single" w:color="000000" w:sz="4" w:space="0"/>
                        </w:tcBorders>
                      </w:tcPr>
                      <w:p>
                        <w:pPr>
                          <w:pStyle w:val="26"/>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4" w:hRule="atLeast"/>
                    </w:trPr>
                    <w:tc>
                      <w:tcPr>
                        <w:tcW w:w="2142" w:type="dxa"/>
                        <w:gridSpan w:val="2"/>
                        <w:tcBorders>
                          <w:top w:val="single" w:color="000000" w:sz="4" w:space="0"/>
                          <w:bottom w:val="single" w:color="000000" w:sz="4" w:space="0"/>
                          <w:right w:val="single" w:color="000000" w:sz="4" w:space="0"/>
                        </w:tcBorders>
                      </w:tcPr>
                      <w:p>
                        <w:pPr>
                          <w:pStyle w:val="26"/>
                          <w:spacing w:before="5"/>
                          <w:rPr>
                            <w:b/>
                            <w:sz w:val="20"/>
                          </w:rPr>
                        </w:pPr>
                      </w:p>
                      <w:p>
                        <w:pPr>
                          <w:pStyle w:val="26"/>
                          <w:ind w:left="109"/>
                          <w:rPr>
                            <w:sz w:val="24"/>
                          </w:rPr>
                        </w:pPr>
                        <w:r>
                          <w:rPr>
                            <w:sz w:val="24"/>
                          </w:rPr>
                          <w:t>执业资格证书编号</w:t>
                        </w:r>
                      </w:p>
                    </w:tc>
                    <w:tc>
                      <w:tcPr>
                        <w:tcW w:w="2512" w:type="dxa"/>
                        <w:tcBorders>
                          <w:top w:val="single" w:color="000000" w:sz="4" w:space="0"/>
                          <w:left w:val="single" w:color="000000" w:sz="4" w:space="0"/>
                          <w:bottom w:val="single" w:color="000000" w:sz="4" w:space="0"/>
                          <w:right w:val="single" w:color="000000" w:sz="4" w:space="0"/>
                        </w:tcBorders>
                      </w:tcPr>
                      <w:p>
                        <w:pPr>
                          <w:pStyle w:val="26"/>
                          <w:rPr>
                            <w:rFonts w:ascii="Times New Roman"/>
                            <w:sz w:val="22"/>
                          </w:rPr>
                        </w:pPr>
                      </w:p>
                    </w:tc>
                    <w:tc>
                      <w:tcPr>
                        <w:tcW w:w="2516" w:type="dxa"/>
                        <w:gridSpan w:val="2"/>
                        <w:tcBorders>
                          <w:top w:val="single" w:color="000000" w:sz="4" w:space="0"/>
                          <w:left w:val="single" w:color="000000" w:sz="4" w:space="0"/>
                          <w:bottom w:val="single" w:color="000000" w:sz="4" w:space="0"/>
                          <w:right w:val="single" w:color="000000" w:sz="4" w:space="0"/>
                        </w:tcBorders>
                      </w:tcPr>
                      <w:p>
                        <w:pPr>
                          <w:pStyle w:val="26"/>
                          <w:spacing w:before="5"/>
                          <w:rPr>
                            <w:b/>
                            <w:sz w:val="20"/>
                          </w:rPr>
                        </w:pPr>
                      </w:p>
                      <w:p>
                        <w:pPr>
                          <w:pStyle w:val="26"/>
                          <w:ind w:left="785"/>
                          <w:rPr>
                            <w:sz w:val="24"/>
                          </w:rPr>
                        </w:pPr>
                        <w:r>
                          <w:rPr>
                            <w:sz w:val="24"/>
                          </w:rPr>
                          <w:t>工作年限</w:t>
                        </w:r>
                      </w:p>
                    </w:tc>
                    <w:tc>
                      <w:tcPr>
                        <w:tcW w:w="2517" w:type="dxa"/>
                        <w:tcBorders>
                          <w:top w:val="single" w:color="000000" w:sz="4" w:space="0"/>
                          <w:left w:val="single" w:color="000000" w:sz="4" w:space="0"/>
                          <w:bottom w:val="single" w:color="000000" w:sz="4" w:space="0"/>
                        </w:tcBorders>
                      </w:tcPr>
                      <w:p>
                        <w:pPr>
                          <w:pStyle w:val="26"/>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40" w:hRule="atLeast"/>
                    </w:trPr>
                    <w:tc>
                      <w:tcPr>
                        <w:tcW w:w="2142" w:type="dxa"/>
                        <w:gridSpan w:val="2"/>
                        <w:tcBorders>
                          <w:top w:val="single" w:color="000000" w:sz="4" w:space="0"/>
                          <w:right w:val="single" w:color="000000" w:sz="4" w:space="0"/>
                        </w:tcBorders>
                      </w:tcPr>
                      <w:p>
                        <w:pPr>
                          <w:pStyle w:val="26"/>
                          <w:spacing w:before="2"/>
                          <w:rPr>
                            <w:b/>
                            <w:sz w:val="26"/>
                          </w:rPr>
                        </w:pPr>
                      </w:p>
                      <w:p>
                        <w:pPr>
                          <w:pStyle w:val="26"/>
                          <w:spacing w:line="242" w:lineRule="auto"/>
                          <w:ind w:left="950" w:right="929"/>
                          <w:jc w:val="both"/>
                          <w:rPr>
                            <w:sz w:val="24"/>
                          </w:rPr>
                        </w:pPr>
                        <w:r>
                          <w:rPr>
                            <w:sz w:val="24"/>
                          </w:rPr>
                          <w:t>主要工作业绩及担任的主要工作</w:t>
                        </w:r>
                      </w:p>
                    </w:tc>
                    <w:tc>
                      <w:tcPr>
                        <w:tcW w:w="7545" w:type="dxa"/>
                        <w:gridSpan w:val="4"/>
                        <w:tcBorders>
                          <w:top w:val="single" w:color="000000" w:sz="4" w:space="0"/>
                          <w:left w:val="single" w:color="000000" w:sz="4" w:space="0"/>
                        </w:tcBorders>
                      </w:tcPr>
                      <w:p>
                        <w:pPr>
                          <w:pStyle w:val="26"/>
                          <w:rPr>
                            <w:rFonts w:ascii="Times New Roman"/>
                            <w:sz w:val="22"/>
                          </w:rPr>
                        </w:pPr>
                      </w:p>
                    </w:tc>
                  </w:tr>
                </w:tbl>
                <w:p>
                  <w:pPr>
                    <w:pStyle w:val="7"/>
                    <w:ind w:left="0"/>
                  </w:pPr>
                </w:p>
              </w:txbxContent>
            </v:textbox>
          </v:shape>
        </w:pict>
      </w:r>
      <w:r>
        <w:rPr>
          <w:b/>
          <w:color w:val="auto"/>
          <w:spacing w:val="-9"/>
          <w:sz w:val="24"/>
          <w:highlight w:val="none"/>
        </w:rPr>
        <w:t>项目其他人员指资料员、材料员、施工员、安全员、质量员等岗位人员。应附岗位证书、</w:t>
      </w:r>
      <w:r>
        <w:rPr>
          <w:b/>
          <w:color w:val="auto"/>
          <w:sz w:val="24"/>
          <w:highlight w:val="none"/>
        </w:rPr>
        <w:t>身份证。</w:t>
      </w:r>
    </w:p>
    <w:p>
      <w:pPr>
        <w:spacing w:after="0" w:line="364" w:lineRule="auto"/>
        <w:jc w:val="left"/>
        <w:rPr>
          <w:color w:val="auto"/>
          <w:sz w:val="24"/>
          <w:highlight w:val="none"/>
        </w:rPr>
        <w:sectPr>
          <w:pgSz w:w="11910" w:h="16840"/>
          <w:pgMar w:top="1580" w:right="900" w:bottom="1200" w:left="900" w:header="0" w:footer="928" w:gutter="0"/>
        </w:sectPr>
      </w:pPr>
    </w:p>
    <w:p>
      <w:pPr>
        <w:spacing w:before="39"/>
        <w:ind w:left="4169" w:right="0" w:firstLine="0"/>
        <w:jc w:val="left"/>
        <w:rPr>
          <w:b/>
          <w:color w:val="auto"/>
          <w:sz w:val="32"/>
          <w:highlight w:val="none"/>
        </w:rPr>
      </w:pPr>
      <w:bookmarkStart w:id="48" w:name="八、供应商业绩"/>
      <w:bookmarkEnd w:id="48"/>
      <w:r>
        <w:rPr>
          <w:b/>
          <w:color w:val="auto"/>
          <w:w w:val="95"/>
          <w:sz w:val="32"/>
          <w:highlight w:val="none"/>
        </w:rPr>
        <w:t>八、供应商业绩</w:t>
      </w:r>
    </w:p>
    <w:p>
      <w:pPr>
        <w:pStyle w:val="7"/>
        <w:spacing w:before="3"/>
        <w:ind w:left="0"/>
        <w:rPr>
          <w:b/>
          <w:color w:val="auto"/>
          <w:sz w:val="27"/>
          <w:highlight w:val="none"/>
        </w:rPr>
      </w:pPr>
    </w:p>
    <w:p>
      <w:pPr>
        <w:spacing w:before="1"/>
        <w:ind w:left="4268" w:right="0" w:firstLine="0"/>
        <w:jc w:val="left"/>
        <w:rPr>
          <w:b/>
          <w:color w:val="auto"/>
          <w:sz w:val="24"/>
          <w:highlight w:val="none"/>
        </w:rPr>
      </w:pPr>
      <w:r>
        <w:rPr>
          <w:b/>
          <w:color w:val="auto"/>
          <w:w w:val="95"/>
          <w:sz w:val="24"/>
          <w:highlight w:val="none"/>
        </w:rPr>
        <w:t>（复印件加盖公章）</w:t>
      </w:r>
    </w:p>
    <w:p>
      <w:pPr>
        <w:spacing w:after="0"/>
        <w:jc w:val="left"/>
        <w:rPr>
          <w:color w:val="auto"/>
          <w:sz w:val="24"/>
          <w:highlight w:val="none"/>
        </w:rPr>
        <w:sectPr>
          <w:pgSz w:w="11910" w:h="16840"/>
          <w:pgMar w:top="1180" w:right="900" w:bottom="1200" w:left="900" w:header="0" w:footer="928" w:gutter="0"/>
        </w:sectPr>
      </w:pPr>
    </w:p>
    <w:p>
      <w:pPr>
        <w:spacing w:before="39"/>
        <w:ind w:left="0" w:right="33" w:firstLine="0"/>
        <w:jc w:val="center"/>
        <w:rPr>
          <w:b/>
          <w:color w:val="auto"/>
          <w:sz w:val="32"/>
          <w:highlight w:val="none"/>
        </w:rPr>
      </w:pPr>
      <w:r>
        <w:rPr>
          <w:b/>
          <w:color w:val="auto"/>
          <w:sz w:val="32"/>
          <w:highlight w:val="none"/>
        </w:rPr>
        <w:t>九、投标单位拒绝政府采购领域商业贿赂承诺书</w:t>
      </w:r>
    </w:p>
    <w:p>
      <w:pPr>
        <w:pStyle w:val="7"/>
        <w:spacing w:before="7"/>
        <w:ind w:left="0"/>
        <w:rPr>
          <w:b/>
          <w:color w:val="auto"/>
          <w:sz w:val="21"/>
          <w:highlight w:val="none"/>
        </w:rPr>
      </w:pPr>
    </w:p>
    <w:p>
      <w:pPr>
        <w:pStyle w:val="7"/>
        <w:spacing w:before="66"/>
        <w:ind w:left="713"/>
        <w:rPr>
          <w:color w:val="auto"/>
          <w:highlight w:val="none"/>
        </w:rPr>
      </w:pPr>
      <w:r>
        <w:rPr>
          <w:color w:val="auto"/>
          <w:highlight w:val="none"/>
        </w:rPr>
        <w:t>为响应党中央、国务院关于治理政府采购领域商业贿赂行为的号召，我单位在此庄严承</w:t>
      </w:r>
    </w:p>
    <w:p>
      <w:pPr>
        <w:pStyle w:val="7"/>
        <w:spacing w:before="134"/>
        <w:rPr>
          <w:color w:val="auto"/>
          <w:highlight w:val="none"/>
        </w:rPr>
      </w:pPr>
      <w:r>
        <w:rPr>
          <w:color w:val="auto"/>
          <w:highlight w:val="none"/>
        </w:rPr>
        <w:t>诺：</w:t>
      </w:r>
    </w:p>
    <w:p>
      <w:pPr>
        <w:pStyle w:val="7"/>
        <w:spacing w:before="132"/>
        <w:ind w:left="713"/>
        <w:rPr>
          <w:color w:val="auto"/>
          <w:highlight w:val="none"/>
        </w:rPr>
      </w:pPr>
      <w:r>
        <w:rPr>
          <w:color w:val="auto"/>
          <w:highlight w:val="none"/>
        </w:rPr>
        <w:t>1、在参与政府采购活动中遵纪守法、诚信经营、公平竞标。</w:t>
      </w:r>
    </w:p>
    <w:p>
      <w:pPr>
        <w:pStyle w:val="7"/>
        <w:spacing w:before="132"/>
        <w:ind w:left="713"/>
        <w:rPr>
          <w:color w:val="auto"/>
          <w:highlight w:val="none"/>
        </w:rPr>
      </w:pPr>
      <w:r>
        <w:rPr>
          <w:color w:val="auto"/>
          <w:highlight w:val="none"/>
        </w:rPr>
        <w:t>2、不向政府采购人、采购代理机构和政府采购评审专家进行任何形式的商业贿赂以谋取</w:t>
      </w:r>
    </w:p>
    <w:p>
      <w:pPr>
        <w:pStyle w:val="7"/>
        <w:spacing w:before="134"/>
        <w:rPr>
          <w:color w:val="auto"/>
          <w:highlight w:val="none"/>
        </w:rPr>
      </w:pPr>
      <w:r>
        <w:rPr>
          <w:color w:val="auto"/>
          <w:highlight w:val="none"/>
        </w:rPr>
        <w:t>交易机会。</w:t>
      </w:r>
    </w:p>
    <w:p>
      <w:pPr>
        <w:pStyle w:val="7"/>
        <w:spacing w:before="132" w:line="343" w:lineRule="auto"/>
        <w:ind w:right="232" w:firstLine="480"/>
        <w:rPr>
          <w:color w:val="auto"/>
          <w:highlight w:val="none"/>
        </w:rPr>
      </w:pPr>
      <w:r>
        <w:rPr>
          <w:color w:val="auto"/>
          <w:highlight w:val="none"/>
        </w:rPr>
        <w:t>3</w:t>
      </w:r>
      <w:r>
        <w:rPr>
          <w:color w:val="auto"/>
          <w:spacing w:val="-11"/>
          <w:highlight w:val="none"/>
        </w:rPr>
        <w:t>、不向政府采购代理机构和采购人提供虚假资质文件或采用虚假应标方式参与政府采购</w:t>
      </w:r>
      <w:r>
        <w:rPr>
          <w:color w:val="auto"/>
          <w:highlight w:val="none"/>
        </w:rPr>
        <w:t>市场竞争并谋取中标、成交。</w:t>
      </w:r>
    </w:p>
    <w:p>
      <w:pPr>
        <w:pStyle w:val="7"/>
        <w:spacing w:before="1"/>
        <w:ind w:left="713"/>
        <w:rPr>
          <w:color w:val="auto"/>
          <w:highlight w:val="none"/>
        </w:rPr>
      </w:pPr>
      <w:r>
        <w:rPr>
          <w:color w:val="auto"/>
          <w:highlight w:val="none"/>
        </w:rPr>
        <w:t>4、不采取“围标、陪标”等商业欺诈手段获得政府采购定单。</w:t>
      </w:r>
    </w:p>
    <w:p>
      <w:pPr>
        <w:pStyle w:val="7"/>
        <w:spacing w:before="132"/>
        <w:ind w:left="713"/>
        <w:rPr>
          <w:color w:val="auto"/>
          <w:highlight w:val="none"/>
        </w:rPr>
      </w:pPr>
      <w:r>
        <w:rPr>
          <w:color w:val="auto"/>
          <w:highlight w:val="none"/>
        </w:rPr>
        <w:t>5、不采取不正当手段诋毁、排挤其他投标单位。</w:t>
      </w:r>
    </w:p>
    <w:p>
      <w:pPr>
        <w:pStyle w:val="7"/>
        <w:spacing w:before="132"/>
        <w:ind w:left="713"/>
        <w:rPr>
          <w:color w:val="auto"/>
          <w:highlight w:val="none"/>
        </w:rPr>
      </w:pPr>
      <w:r>
        <w:rPr>
          <w:color w:val="auto"/>
          <w:highlight w:val="none"/>
        </w:rPr>
        <w:t>6、不在提供商品和服务时“偷梁换柱、以次充好”损害采购人的合法权益。</w:t>
      </w:r>
    </w:p>
    <w:p>
      <w:pPr>
        <w:pStyle w:val="7"/>
        <w:spacing w:before="134" w:line="343" w:lineRule="auto"/>
        <w:ind w:right="232" w:firstLine="480"/>
        <w:rPr>
          <w:color w:val="auto"/>
          <w:highlight w:val="none"/>
        </w:rPr>
      </w:pPr>
      <w:r>
        <w:rPr>
          <w:color w:val="auto"/>
          <w:highlight w:val="none"/>
        </w:rPr>
        <w:t>7</w:t>
      </w:r>
      <w:r>
        <w:rPr>
          <w:color w:val="auto"/>
          <w:spacing w:val="-10"/>
          <w:highlight w:val="none"/>
        </w:rPr>
        <w:t>、不与采购人、采购代理机构政府采购评审专家或其它投标单位恶意串通，进行质疑和</w:t>
      </w:r>
      <w:r>
        <w:rPr>
          <w:color w:val="auto"/>
          <w:highlight w:val="none"/>
        </w:rPr>
        <w:t>投诉，维护政府采购市场秩序。</w:t>
      </w:r>
    </w:p>
    <w:p>
      <w:pPr>
        <w:pStyle w:val="7"/>
        <w:spacing w:line="273" w:lineRule="exact"/>
        <w:ind w:left="713"/>
        <w:rPr>
          <w:color w:val="auto"/>
          <w:highlight w:val="none"/>
        </w:rPr>
      </w:pPr>
      <w:r>
        <w:rPr>
          <w:color w:val="auto"/>
          <w:highlight w:val="none"/>
        </w:rPr>
        <w:t>8、尊重和接受政府采购监督管理部门的监督和政府采购代理机构招标采购要求，承担因</w:t>
      </w:r>
    </w:p>
    <w:p>
      <w:pPr>
        <w:pStyle w:val="7"/>
        <w:spacing w:before="160"/>
        <w:rPr>
          <w:color w:val="auto"/>
          <w:highlight w:val="none"/>
        </w:rPr>
      </w:pPr>
      <w:r>
        <w:rPr>
          <w:color w:val="auto"/>
          <w:highlight w:val="none"/>
        </w:rPr>
        <w:t>违约行为给采购人造成的损失。</w:t>
      </w:r>
    </w:p>
    <w:p>
      <w:pPr>
        <w:pStyle w:val="7"/>
        <w:tabs>
          <w:tab w:val="left" w:pos="6114"/>
        </w:tabs>
        <w:spacing w:before="161" w:line="364" w:lineRule="auto"/>
        <w:ind w:left="833" w:right="2071" w:hanging="120"/>
        <w:rPr>
          <w:color w:val="auto"/>
          <w:highlight w:val="none"/>
        </w:rPr>
      </w:pPr>
      <w:r>
        <w:rPr>
          <w:color w:val="auto"/>
          <w:highlight w:val="none"/>
        </w:rPr>
        <w:t>9、不发生其他有悖于政府采购公开、公平、公正和诚信原则的行为</w:t>
      </w:r>
      <w:r>
        <w:rPr>
          <w:color w:val="auto"/>
          <w:spacing w:val="-18"/>
          <w:highlight w:val="none"/>
        </w:rPr>
        <w:t>。</w:t>
      </w:r>
      <w:r>
        <w:rPr>
          <w:color w:val="auto"/>
          <w:highlight w:val="none"/>
        </w:rPr>
        <w:t>承诺单位：</w:t>
      </w:r>
      <w:r>
        <w:rPr>
          <w:color w:val="auto"/>
          <w:highlight w:val="none"/>
          <w:u w:val="single"/>
        </w:rPr>
        <w:t xml:space="preserve"> </w:t>
      </w:r>
      <w:r>
        <w:rPr>
          <w:color w:val="auto"/>
          <w:highlight w:val="none"/>
          <w:u w:val="single"/>
        </w:rPr>
        <w:tab/>
      </w:r>
      <w:r>
        <w:rPr>
          <w:color w:val="auto"/>
          <w:highlight w:val="none"/>
        </w:rPr>
        <w:t>（盖章）</w:t>
      </w:r>
    </w:p>
    <w:p>
      <w:pPr>
        <w:pStyle w:val="7"/>
        <w:tabs>
          <w:tab w:val="left" w:pos="1553"/>
          <w:tab w:val="left" w:pos="6114"/>
          <w:tab w:val="left" w:pos="6169"/>
        </w:tabs>
        <w:spacing w:before="2" w:line="364" w:lineRule="auto"/>
        <w:ind w:left="833" w:right="3030"/>
        <w:rPr>
          <w:rFonts w:ascii="Times New Roman" w:eastAsia="Times New Roman"/>
          <w:color w:val="auto"/>
          <w:highlight w:val="none"/>
        </w:rPr>
      </w:pPr>
      <w:r>
        <w:rPr>
          <w:color w:val="auto"/>
          <w:highlight w:val="none"/>
        </w:rPr>
        <w:t>全权代表：</w:t>
      </w:r>
      <w:r>
        <w:rPr>
          <w:color w:val="auto"/>
          <w:highlight w:val="none"/>
          <w:u w:val="single"/>
        </w:rPr>
        <w:t xml:space="preserve"> </w:t>
      </w:r>
      <w:r>
        <w:rPr>
          <w:color w:val="auto"/>
          <w:highlight w:val="none"/>
          <w:u w:val="single"/>
        </w:rPr>
        <w:tab/>
      </w:r>
      <w:r>
        <w:rPr>
          <w:color w:val="auto"/>
          <w:highlight w:val="none"/>
        </w:rPr>
        <w:t>（签字</w:t>
      </w:r>
      <w:r>
        <w:rPr>
          <w:color w:val="auto"/>
          <w:spacing w:val="-18"/>
          <w:highlight w:val="none"/>
        </w:rPr>
        <w:t xml:space="preserve">） </w:t>
      </w:r>
      <w:r>
        <w:rPr>
          <w:color w:val="auto"/>
          <w:highlight w:val="none"/>
        </w:rPr>
        <w:t>地</w:t>
      </w:r>
      <w:r>
        <w:rPr>
          <w:color w:val="auto"/>
          <w:highlight w:val="none"/>
        </w:rPr>
        <w:tab/>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7"/>
        <w:tabs>
          <w:tab w:val="left" w:pos="1553"/>
          <w:tab w:val="left" w:pos="6114"/>
          <w:tab w:val="left" w:pos="6169"/>
        </w:tabs>
        <w:spacing w:before="2" w:line="364" w:lineRule="auto"/>
        <w:ind w:left="833" w:right="3030"/>
        <w:rPr>
          <w:color w:val="auto"/>
          <w:highlight w:val="none"/>
        </w:rPr>
      </w:pPr>
      <w:r>
        <w:rPr>
          <w:color w:val="auto"/>
          <w:highlight w:val="none"/>
        </w:rPr>
        <w:t>邮</w:t>
      </w:r>
      <w:r>
        <w:rPr>
          <w:color w:val="auto"/>
          <w:highlight w:val="none"/>
        </w:rPr>
        <w:tab/>
      </w:r>
      <w:r>
        <w:rPr>
          <w:color w:val="auto"/>
          <w:highlight w:val="none"/>
        </w:rPr>
        <w:t>编：</w:t>
      </w:r>
      <w:r>
        <w:rPr>
          <w:color w:val="auto"/>
          <w:highlight w:val="none"/>
          <w:u w:val="single"/>
        </w:rPr>
        <w:t xml:space="preserve"> </w:t>
      </w:r>
      <w:r>
        <w:rPr>
          <w:color w:val="auto"/>
          <w:highlight w:val="none"/>
          <w:u w:val="single"/>
        </w:rPr>
        <w:tab/>
      </w:r>
    </w:p>
    <w:p>
      <w:pPr>
        <w:pStyle w:val="7"/>
        <w:tabs>
          <w:tab w:val="left" w:pos="1553"/>
          <w:tab w:val="left" w:pos="6169"/>
        </w:tabs>
        <w:spacing w:before="160"/>
        <w:ind w:left="833"/>
        <w:rPr>
          <w:rFonts w:ascii="Times New Roman" w:eastAsia="Times New Roman"/>
          <w:color w:val="auto"/>
          <w:highlight w:val="none"/>
        </w:rPr>
      </w:pPr>
      <w:r>
        <w:rPr>
          <w:color w:val="auto"/>
          <w:highlight w:val="none"/>
        </w:rPr>
        <w:t>电</w:t>
      </w:r>
      <w:r>
        <w:rPr>
          <w:color w:val="auto"/>
          <w:highlight w:val="none"/>
        </w:rPr>
        <w:tab/>
      </w:r>
      <w:r>
        <w:rPr>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tabs>
          <w:tab w:val="left" w:pos="6714"/>
          <w:tab w:val="left" w:pos="7674"/>
        </w:tabs>
        <w:spacing w:before="184"/>
        <w:ind w:left="5754"/>
        <w:rPr>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sectPr>
      <w:pgSz w:w="11910" w:h="16840"/>
      <w:pgMar w:top="1300" w:right="900" w:bottom="1200" w:left="900" w:header="0" w:footer="9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w:pict>
        <v:shape id="_x0000_s2050" o:spid="_x0000_s2050" o:spt="202" type="#_x0000_t202" style="position:absolute;left:0pt;margin-left:258.45pt;margin-top:785.35pt;height:12pt;width:78.7pt;mso-position-horizontal-relative:page;mso-position-vertical-relative:page;z-index:-257351680;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18</w:t>
                </w:r>
                <w:r>
                  <w:fldChar w:fldCharType="end"/>
                </w:r>
                <w:r>
                  <w:rPr>
                    <w:rFonts w:ascii="Times New Roman" w:eastAsia="Times New Roman"/>
                    <w:sz w:val="18"/>
                  </w:rPr>
                  <w:t xml:space="preserve"> </w:t>
                </w:r>
                <w:r>
                  <w:rPr>
                    <w:rFonts w:hint="eastAsia" w:ascii="宋体" w:eastAsia="宋体"/>
                    <w:sz w:val="18"/>
                  </w:rPr>
                  <w:t xml:space="preserve">页 共 </w:t>
                </w:r>
                <w:r>
                  <w:rPr>
                    <w:rFonts w:ascii="Times New Roman" w:eastAsia="Times New Roman"/>
                    <w:sz w:val="18"/>
                  </w:rPr>
                  <w:t>5</w:t>
                </w:r>
                <w:r>
                  <w:rPr>
                    <w:rFonts w:hint="eastAsia" w:ascii="Times New Roman" w:eastAsia="宋体"/>
                    <w:sz w:val="18"/>
                    <w:lang w:val="en-US" w:eastAsia="zh-CN"/>
                  </w:rPr>
                  <w:t>0</w:t>
                </w:r>
                <w:r>
                  <w:rPr>
                    <w:rFonts w:ascii="Times New Roman" w:eastAsia="Times New Roman"/>
                    <w:sz w:val="18"/>
                  </w:rPr>
                  <w:t xml:space="preserve"> </w:t>
                </w:r>
                <w:r>
                  <w:rPr>
                    <w:rFonts w:hint="eastAsia" w:ascii="宋体" w:eastAsia="宋体"/>
                    <w:sz w:val="18"/>
                  </w:rPr>
                  <w:t>页</w:t>
                </w:r>
              </w:p>
            </w:txbxContent>
          </v:textbox>
        </v:shape>
      </w:pict>
    </w:r>
    <w:r>
      <w:pict>
        <v:shape id="_x0000_s2049" o:spid="_x0000_s2049" o:spt="202" type="#_x0000_t202" style="position:absolute;left:0pt;margin-left:55.6pt;margin-top:785.9pt;height:11.5pt;width:110pt;mso-position-horizontal-relative:page;mso-position-vertical-relative:page;z-index:-257352704;mso-width-relative:page;mso-height-relative:page;" filled="f" stroked="f" coordsize="21600,21600">
          <v:path/>
          <v:fill on="f" focussize="0,0"/>
          <v:stroke on="f" joinstyle="miter"/>
          <v:imagedata o:title=""/>
          <o:lock v:ext="edit"/>
          <v:textbox inset="0mm,0mm,0mm,0mm">
            <w:txbxContent>
              <w:p>
                <w:pPr>
                  <w:spacing w:before="0" w:line="230" w:lineRule="exact"/>
                  <w:ind w:left="20" w:right="0" w:firstLine="0"/>
                  <w:jc w:val="left"/>
                  <w:rPr>
                    <w:rFonts w:hint="eastAsia" w:ascii="宋体" w:eastAsia="宋体"/>
                    <w:i/>
                    <w:sz w:val="19"/>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433" w:hanging="480"/>
        <w:jc w:val="left"/>
      </w:pPr>
      <w:rPr>
        <w:rFonts w:hint="default"/>
        <w:lang w:val="zh-CN" w:eastAsia="zh-CN" w:bidi="zh-CN"/>
      </w:rPr>
    </w:lvl>
    <w:lvl w:ilvl="1" w:tentative="0">
      <w:start w:val="1"/>
      <w:numFmt w:val="decimal"/>
      <w:lvlText w:val="%1-%2"/>
      <w:lvlJc w:val="left"/>
      <w:pPr>
        <w:ind w:left="1433" w:hanging="480"/>
        <w:jc w:val="left"/>
      </w:pPr>
      <w:rPr>
        <w:rFonts w:hint="default" w:ascii="楷体" w:hAnsi="楷体" w:eastAsia="楷体" w:cs="楷体"/>
        <w:spacing w:val="-1"/>
        <w:w w:val="100"/>
        <w:sz w:val="24"/>
        <w:szCs w:val="24"/>
        <w:lang w:val="zh-CN" w:eastAsia="zh-CN" w:bidi="zh-CN"/>
      </w:rPr>
    </w:lvl>
    <w:lvl w:ilvl="2" w:tentative="0">
      <w:start w:val="0"/>
      <w:numFmt w:val="bullet"/>
      <w:lvlText w:val="•"/>
      <w:lvlJc w:val="left"/>
      <w:pPr>
        <w:ind w:left="3173" w:hanging="480"/>
      </w:pPr>
      <w:rPr>
        <w:rFonts w:hint="default"/>
        <w:lang w:val="zh-CN" w:eastAsia="zh-CN" w:bidi="zh-CN"/>
      </w:rPr>
    </w:lvl>
    <w:lvl w:ilvl="3" w:tentative="0">
      <w:start w:val="0"/>
      <w:numFmt w:val="bullet"/>
      <w:lvlText w:val="•"/>
      <w:lvlJc w:val="left"/>
      <w:pPr>
        <w:ind w:left="4039" w:hanging="480"/>
      </w:pPr>
      <w:rPr>
        <w:rFonts w:hint="default"/>
        <w:lang w:val="zh-CN" w:eastAsia="zh-CN" w:bidi="zh-CN"/>
      </w:rPr>
    </w:lvl>
    <w:lvl w:ilvl="4" w:tentative="0">
      <w:start w:val="0"/>
      <w:numFmt w:val="bullet"/>
      <w:lvlText w:val="•"/>
      <w:lvlJc w:val="left"/>
      <w:pPr>
        <w:ind w:left="4906" w:hanging="480"/>
      </w:pPr>
      <w:rPr>
        <w:rFonts w:hint="default"/>
        <w:lang w:val="zh-CN" w:eastAsia="zh-CN" w:bidi="zh-CN"/>
      </w:rPr>
    </w:lvl>
    <w:lvl w:ilvl="5" w:tentative="0">
      <w:start w:val="0"/>
      <w:numFmt w:val="bullet"/>
      <w:lvlText w:val="•"/>
      <w:lvlJc w:val="left"/>
      <w:pPr>
        <w:ind w:left="5773" w:hanging="480"/>
      </w:pPr>
      <w:rPr>
        <w:rFonts w:hint="default"/>
        <w:lang w:val="zh-CN" w:eastAsia="zh-CN" w:bidi="zh-CN"/>
      </w:rPr>
    </w:lvl>
    <w:lvl w:ilvl="6" w:tentative="0">
      <w:start w:val="0"/>
      <w:numFmt w:val="bullet"/>
      <w:lvlText w:val="•"/>
      <w:lvlJc w:val="left"/>
      <w:pPr>
        <w:ind w:left="6639" w:hanging="480"/>
      </w:pPr>
      <w:rPr>
        <w:rFonts w:hint="default"/>
        <w:lang w:val="zh-CN" w:eastAsia="zh-CN" w:bidi="zh-CN"/>
      </w:rPr>
    </w:lvl>
    <w:lvl w:ilvl="7" w:tentative="0">
      <w:start w:val="0"/>
      <w:numFmt w:val="bullet"/>
      <w:lvlText w:val="•"/>
      <w:lvlJc w:val="left"/>
      <w:pPr>
        <w:ind w:left="7506" w:hanging="480"/>
      </w:pPr>
      <w:rPr>
        <w:rFonts w:hint="default"/>
        <w:lang w:val="zh-CN" w:eastAsia="zh-CN" w:bidi="zh-CN"/>
      </w:rPr>
    </w:lvl>
    <w:lvl w:ilvl="8" w:tentative="0">
      <w:start w:val="0"/>
      <w:numFmt w:val="bullet"/>
      <w:lvlText w:val="•"/>
      <w:lvlJc w:val="left"/>
      <w:pPr>
        <w:ind w:left="8373" w:hanging="480"/>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232" w:hanging="480"/>
        <w:jc w:val="left"/>
      </w:pPr>
      <w:rPr>
        <w:rFonts w:hint="default"/>
        <w:lang w:val="zh-CN" w:eastAsia="zh-CN" w:bidi="zh-CN"/>
      </w:rPr>
    </w:lvl>
    <w:lvl w:ilvl="1" w:tentative="0">
      <w:start w:val="1"/>
      <w:numFmt w:val="decimal"/>
      <w:lvlText w:val="%1.%2"/>
      <w:lvlJc w:val="left"/>
      <w:pPr>
        <w:ind w:left="232" w:hanging="480"/>
        <w:jc w:val="left"/>
      </w:pPr>
      <w:rPr>
        <w:rFonts w:hint="default" w:ascii="楷体" w:hAnsi="楷体" w:eastAsia="楷体" w:cs="楷体"/>
        <w:spacing w:val="-15"/>
        <w:w w:val="100"/>
        <w:sz w:val="24"/>
        <w:szCs w:val="24"/>
        <w:lang w:val="zh-CN" w:eastAsia="zh-CN" w:bidi="zh-CN"/>
      </w:rPr>
    </w:lvl>
    <w:lvl w:ilvl="2" w:tentative="0">
      <w:start w:val="1"/>
      <w:numFmt w:val="decimal"/>
      <w:lvlText w:val="%1.%2.%3"/>
      <w:lvlJc w:val="left"/>
      <w:pPr>
        <w:ind w:left="1193" w:hanging="720"/>
        <w:jc w:val="left"/>
      </w:pPr>
      <w:rPr>
        <w:rFonts w:hint="default" w:ascii="楷体" w:hAnsi="楷体" w:eastAsia="楷体" w:cs="楷体"/>
        <w:w w:val="100"/>
        <w:sz w:val="24"/>
        <w:szCs w:val="24"/>
        <w:lang w:val="zh-CN" w:eastAsia="zh-CN" w:bidi="zh-CN"/>
      </w:rPr>
    </w:lvl>
    <w:lvl w:ilvl="3" w:tentative="0">
      <w:start w:val="0"/>
      <w:numFmt w:val="bullet"/>
      <w:lvlText w:val="•"/>
      <w:lvlJc w:val="left"/>
      <w:pPr>
        <w:ind w:left="3179" w:hanging="720"/>
      </w:pPr>
      <w:rPr>
        <w:rFonts w:hint="default"/>
        <w:lang w:val="zh-CN" w:eastAsia="zh-CN" w:bidi="zh-CN"/>
      </w:rPr>
    </w:lvl>
    <w:lvl w:ilvl="4" w:tentative="0">
      <w:start w:val="0"/>
      <w:numFmt w:val="bullet"/>
      <w:lvlText w:val="•"/>
      <w:lvlJc w:val="left"/>
      <w:pPr>
        <w:ind w:left="4168" w:hanging="720"/>
      </w:pPr>
      <w:rPr>
        <w:rFonts w:hint="default"/>
        <w:lang w:val="zh-CN" w:eastAsia="zh-CN" w:bidi="zh-CN"/>
      </w:rPr>
    </w:lvl>
    <w:lvl w:ilvl="5" w:tentative="0">
      <w:start w:val="0"/>
      <w:numFmt w:val="bullet"/>
      <w:lvlText w:val="•"/>
      <w:lvlJc w:val="left"/>
      <w:pPr>
        <w:ind w:left="5158" w:hanging="720"/>
      </w:pPr>
      <w:rPr>
        <w:rFonts w:hint="default"/>
        <w:lang w:val="zh-CN" w:eastAsia="zh-CN" w:bidi="zh-CN"/>
      </w:rPr>
    </w:lvl>
    <w:lvl w:ilvl="6" w:tentative="0">
      <w:start w:val="0"/>
      <w:numFmt w:val="bullet"/>
      <w:lvlText w:val="•"/>
      <w:lvlJc w:val="left"/>
      <w:pPr>
        <w:ind w:left="6148" w:hanging="720"/>
      </w:pPr>
      <w:rPr>
        <w:rFonts w:hint="default"/>
        <w:lang w:val="zh-CN" w:eastAsia="zh-CN" w:bidi="zh-CN"/>
      </w:rPr>
    </w:lvl>
    <w:lvl w:ilvl="7" w:tentative="0">
      <w:start w:val="0"/>
      <w:numFmt w:val="bullet"/>
      <w:lvlText w:val="•"/>
      <w:lvlJc w:val="left"/>
      <w:pPr>
        <w:ind w:left="7137" w:hanging="720"/>
      </w:pPr>
      <w:rPr>
        <w:rFonts w:hint="default"/>
        <w:lang w:val="zh-CN" w:eastAsia="zh-CN" w:bidi="zh-CN"/>
      </w:rPr>
    </w:lvl>
    <w:lvl w:ilvl="8" w:tentative="0">
      <w:start w:val="0"/>
      <w:numFmt w:val="bullet"/>
      <w:lvlText w:val="•"/>
      <w:lvlJc w:val="left"/>
      <w:pPr>
        <w:ind w:left="8127" w:hanging="720"/>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1314" w:hanging="601"/>
        <w:jc w:val="left"/>
      </w:pPr>
      <w:rPr>
        <w:rFonts w:hint="default" w:ascii="楷体" w:hAnsi="楷体" w:eastAsia="楷体" w:cs="楷体"/>
        <w:spacing w:val="-60"/>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232" w:hanging="601"/>
        <w:jc w:val="left"/>
      </w:pPr>
      <w:rPr>
        <w:rFonts w:hint="default" w:ascii="楷体" w:hAnsi="楷体" w:eastAsia="楷体" w:cs="楷体"/>
        <w:spacing w:val="-22"/>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4">
    <w:nsid w:val="9C8AC8EF"/>
    <w:multiLevelType w:val="multilevel"/>
    <w:tmpl w:val="9C8AC8EF"/>
    <w:lvl w:ilvl="0" w:tentative="0">
      <w:start w:val="1"/>
      <w:numFmt w:val="decimal"/>
      <w:lvlText w:val="（%1）"/>
      <w:lvlJc w:val="left"/>
      <w:pPr>
        <w:ind w:left="232" w:hanging="601"/>
        <w:jc w:val="left"/>
      </w:pPr>
      <w:rPr>
        <w:rFonts w:hint="default" w:ascii="楷体" w:hAnsi="楷体" w:eastAsia="楷体" w:cs="楷体"/>
        <w:spacing w:val="-10"/>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5">
    <w:nsid w:val="B0F1ACD9"/>
    <w:multiLevelType w:val="multilevel"/>
    <w:tmpl w:val="B0F1ACD9"/>
    <w:lvl w:ilvl="0" w:tentative="0">
      <w:start w:val="21"/>
      <w:numFmt w:val="decimal"/>
      <w:lvlText w:val="%1"/>
      <w:lvlJc w:val="left"/>
      <w:pPr>
        <w:ind w:left="232" w:hanging="600"/>
        <w:jc w:val="left"/>
      </w:pPr>
      <w:rPr>
        <w:rFonts w:hint="default"/>
        <w:lang w:val="zh-CN" w:eastAsia="zh-CN" w:bidi="zh-CN"/>
      </w:rPr>
    </w:lvl>
    <w:lvl w:ilvl="1" w:tentative="0">
      <w:start w:val="1"/>
      <w:numFmt w:val="decimal"/>
      <w:lvlText w:val="%1.%2"/>
      <w:lvlJc w:val="left"/>
      <w:pPr>
        <w:ind w:left="232" w:hanging="600"/>
        <w:jc w:val="left"/>
      </w:pPr>
      <w:rPr>
        <w:rFonts w:hint="default"/>
        <w:w w:val="100"/>
        <w:lang w:val="zh-CN" w:eastAsia="zh-CN" w:bidi="zh-CN"/>
      </w:rPr>
    </w:lvl>
    <w:lvl w:ilvl="2" w:tentative="0">
      <w:start w:val="1"/>
      <w:numFmt w:val="decimal"/>
      <w:lvlText w:val="%1.%2.%3"/>
      <w:lvlJc w:val="left"/>
      <w:pPr>
        <w:ind w:left="1562" w:hanging="848"/>
        <w:jc w:val="left"/>
      </w:pPr>
      <w:rPr>
        <w:rFonts w:hint="default" w:ascii="楷体" w:hAnsi="楷体" w:eastAsia="楷体" w:cs="楷体"/>
        <w:b/>
        <w:bCs/>
        <w:spacing w:val="0"/>
        <w:w w:val="99"/>
        <w:sz w:val="24"/>
        <w:szCs w:val="24"/>
        <w:lang w:val="zh-CN" w:eastAsia="zh-CN" w:bidi="zh-CN"/>
      </w:rPr>
    </w:lvl>
    <w:lvl w:ilvl="3" w:tentative="0">
      <w:start w:val="0"/>
      <w:numFmt w:val="bullet"/>
      <w:lvlText w:val="•"/>
      <w:lvlJc w:val="left"/>
      <w:pPr>
        <w:ind w:left="3459" w:hanging="848"/>
      </w:pPr>
      <w:rPr>
        <w:rFonts w:hint="default"/>
        <w:lang w:val="zh-CN" w:eastAsia="zh-CN" w:bidi="zh-CN"/>
      </w:rPr>
    </w:lvl>
    <w:lvl w:ilvl="4" w:tentative="0">
      <w:start w:val="0"/>
      <w:numFmt w:val="bullet"/>
      <w:lvlText w:val="•"/>
      <w:lvlJc w:val="left"/>
      <w:pPr>
        <w:ind w:left="4408" w:hanging="848"/>
      </w:pPr>
      <w:rPr>
        <w:rFonts w:hint="default"/>
        <w:lang w:val="zh-CN" w:eastAsia="zh-CN" w:bidi="zh-CN"/>
      </w:rPr>
    </w:lvl>
    <w:lvl w:ilvl="5" w:tentative="0">
      <w:start w:val="0"/>
      <w:numFmt w:val="bullet"/>
      <w:lvlText w:val="•"/>
      <w:lvlJc w:val="left"/>
      <w:pPr>
        <w:ind w:left="5358" w:hanging="848"/>
      </w:pPr>
      <w:rPr>
        <w:rFonts w:hint="default"/>
        <w:lang w:val="zh-CN" w:eastAsia="zh-CN" w:bidi="zh-CN"/>
      </w:rPr>
    </w:lvl>
    <w:lvl w:ilvl="6" w:tentative="0">
      <w:start w:val="0"/>
      <w:numFmt w:val="bullet"/>
      <w:lvlText w:val="•"/>
      <w:lvlJc w:val="left"/>
      <w:pPr>
        <w:ind w:left="6308" w:hanging="848"/>
      </w:pPr>
      <w:rPr>
        <w:rFonts w:hint="default"/>
        <w:lang w:val="zh-CN" w:eastAsia="zh-CN" w:bidi="zh-CN"/>
      </w:rPr>
    </w:lvl>
    <w:lvl w:ilvl="7" w:tentative="0">
      <w:start w:val="0"/>
      <w:numFmt w:val="bullet"/>
      <w:lvlText w:val="•"/>
      <w:lvlJc w:val="left"/>
      <w:pPr>
        <w:ind w:left="7257" w:hanging="848"/>
      </w:pPr>
      <w:rPr>
        <w:rFonts w:hint="default"/>
        <w:lang w:val="zh-CN" w:eastAsia="zh-CN" w:bidi="zh-CN"/>
      </w:rPr>
    </w:lvl>
    <w:lvl w:ilvl="8" w:tentative="0">
      <w:start w:val="0"/>
      <w:numFmt w:val="bullet"/>
      <w:lvlText w:val="•"/>
      <w:lvlJc w:val="left"/>
      <w:pPr>
        <w:ind w:left="8207" w:hanging="848"/>
      </w:pPr>
      <w:rPr>
        <w:rFonts w:hint="default"/>
        <w:lang w:val="zh-CN" w:eastAsia="zh-CN" w:bidi="zh-CN"/>
      </w:rPr>
    </w:lvl>
  </w:abstractNum>
  <w:abstractNum w:abstractNumId="6">
    <w:nsid w:val="B5E306ED"/>
    <w:multiLevelType w:val="multilevel"/>
    <w:tmpl w:val="B5E306ED"/>
    <w:lvl w:ilvl="0" w:tentative="0">
      <w:start w:val="1"/>
      <w:numFmt w:val="decimal"/>
      <w:lvlText w:val="（%1）"/>
      <w:lvlJc w:val="left"/>
      <w:pPr>
        <w:ind w:left="1314" w:hanging="60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7">
    <w:nsid w:val="BE923771"/>
    <w:multiLevelType w:val="multilevel"/>
    <w:tmpl w:val="BE923771"/>
    <w:lvl w:ilvl="0" w:tentative="0">
      <w:start w:val="22"/>
      <w:numFmt w:val="decimal"/>
      <w:lvlText w:val="%1."/>
      <w:lvlJc w:val="left"/>
      <w:pPr>
        <w:ind w:left="232" w:hanging="365"/>
        <w:jc w:val="right"/>
      </w:pPr>
      <w:rPr>
        <w:rFonts w:hint="default"/>
        <w:b/>
        <w:bCs/>
        <w:spacing w:val="0"/>
        <w:w w:val="99"/>
        <w:lang w:val="zh-CN" w:eastAsia="zh-CN" w:bidi="zh-CN"/>
      </w:rPr>
    </w:lvl>
    <w:lvl w:ilvl="1" w:tentative="0">
      <w:start w:val="1"/>
      <w:numFmt w:val="decimal"/>
      <w:lvlText w:val="%1.%2"/>
      <w:lvlJc w:val="left"/>
      <w:pPr>
        <w:ind w:left="232" w:hanging="600"/>
        <w:jc w:val="left"/>
      </w:pPr>
      <w:rPr>
        <w:rFonts w:hint="default" w:ascii="楷体" w:hAnsi="楷体" w:eastAsia="楷体" w:cs="楷体"/>
        <w:w w:val="100"/>
        <w:sz w:val="24"/>
        <w:szCs w:val="24"/>
        <w:lang w:val="zh-CN" w:eastAsia="zh-CN" w:bidi="zh-CN"/>
      </w:rPr>
    </w:lvl>
    <w:lvl w:ilvl="2" w:tentative="0">
      <w:start w:val="0"/>
      <w:numFmt w:val="bullet"/>
      <w:lvlText w:val="•"/>
      <w:lvlJc w:val="left"/>
      <w:pPr>
        <w:ind w:left="1320" w:hanging="600"/>
      </w:pPr>
      <w:rPr>
        <w:rFonts w:hint="default"/>
        <w:lang w:val="zh-CN" w:eastAsia="zh-CN" w:bidi="zh-CN"/>
      </w:rPr>
    </w:lvl>
    <w:lvl w:ilvl="3" w:tentative="0">
      <w:start w:val="0"/>
      <w:numFmt w:val="bullet"/>
      <w:lvlText w:val="•"/>
      <w:lvlJc w:val="left"/>
      <w:pPr>
        <w:ind w:left="2418" w:hanging="600"/>
      </w:pPr>
      <w:rPr>
        <w:rFonts w:hint="default"/>
        <w:lang w:val="zh-CN" w:eastAsia="zh-CN" w:bidi="zh-CN"/>
      </w:rPr>
    </w:lvl>
    <w:lvl w:ilvl="4" w:tentative="0">
      <w:start w:val="0"/>
      <w:numFmt w:val="bullet"/>
      <w:lvlText w:val="•"/>
      <w:lvlJc w:val="left"/>
      <w:pPr>
        <w:ind w:left="3516" w:hanging="600"/>
      </w:pPr>
      <w:rPr>
        <w:rFonts w:hint="default"/>
        <w:lang w:val="zh-CN" w:eastAsia="zh-CN" w:bidi="zh-CN"/>
      </w:rPr>
    </w:lvl>
    <w:lvl w:ilvl="5" w:tentative="0">
      <w:start w:val="0"/>
      <w:numFmt w:val="bullet"/>
      <w:lvlText w:val="•"/>
      <w:lvlJc w:val="left"/>
      <w:pPr>
        <w:ind w:left="4614" w:hanging="600"/>
      </w:pPr>
      <w:rPr>
        <w:rFonts w:hint="default"/>
        <w:lang w:val="zh-CN" w:eastAsia="zh-CN" w:bidi="zh-CN"/>
      </w:rPr>
    </w:lvl>
    <w:lvl w:ilvl="6" w:tentative="0">
      <w:start w:val="0"/>
      <w:numFmt w:val="bullet"/>
      <w:lvlText w:val="•"/>
      <w:lvlJc w:val="left"/>
      <w:pPr>
        <w:ind w:left="5713" w:hanging="600"/>
      </w:pPr>
      <w:rPr>
        <w:rFonts w:hint="default"/>
        <w:lang w:val="zh-CN" w:eastAsia="zh-CN" w:bidi="zh-CN"/>
      </w:rPr>
    </w:lvl>
    <w:lvl w:ilvl="7" w:tentative="0">
      <w:start w:val="0"/>
      <w:numFmt w:val="bullet"/>
      <w:lvlText w:val="•"/>
      <w:lvlJc w:val="left"/>
      <w:pPr>
        <w:ind w:left="6811" w:hanging="600"/>
      </w:pPr>
      <w:rPr>
        <w:rFonts w:hint="default"/>
        <w:lang w:val="zh-CN" w:eastAsia="zh-CN" w:bidi="zh-CN"/>
      </w:rPr>
    </w:lvl>
    <w:lvl w:ilvl="8" w:tentative="0">
      <w:start w:val="0"/>
      <w:numFmt w:val="bullet"/>
      <w:lvlText w:val="•"/>
      <w:lvlJc w:val="left"/>
      <w:pPr>
        <w:ind w:left="7909" w:hanging="600"/>
      </w:pPr>
      <w:rPr>
        <w:rFonts w:hint="default"/>
        <w:lang w:val="zh-CN" w:eastAsia="zh-CN" w:bidi="zh-CN"/>
      </w:rPr>
    </w:lvl>
  </w:abstractNum>
  <w:abstractNum w:abstractNumId="8">
    <w:nsid w:val="BF205925"/>
    <w:multiLevelType w:val="multilevel"/>
    <w:tmpl w:val="BF205925"/>
    <w:lvl w:ilvl="0" w:tentative="0">
      <w:start w:val="1"/>
      <w:numFmt w:val="decimal"/>
      <w:lvlText w:val="（%1）"/>
      <w:lvlJc w:val="left"/>
      <w:pPr>
        <w:ind w:left="1314" w:hanging="601"/>
        <w:jc w:val="left"/>
      </w:pPr>
      <w:rPr>
        <w:rFonts w:hint="default" w:ascii="楷体" w:hAnsi="楷体" w:eastAsia="楷体" w:cs="楷体"/>
        <w:spacing w:val="-1"/>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9">
    <w:nsid w:val="C8879AEF"/>
    <w:multiLevelType w:val="multilevel"/>
    <w:tmpl w:val="C8879AEF"/>
    <w:lvl w:ilvl="0" w:tentative="0">
      <w:start w:val="1"/>
      <w:numFmt w:val="decimal"/>
      <w:lvlText w:val="（%1）"/>
      <w:lvlJc w:val="left"/>
      <w:pPr>
        <w:ind w:left="1314" w:hanging="60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10">
    <w:nsid w:val="CF092B84"/>
    <w:multiLevelType w:val="multilevel"/>
    <w:tmpl w:val="CF092B84"/>
    <w:lvl w:ilvl="0" w:tentative="0">
      <w:start w:val="1"/>
      <w:numFmt w:val="decimal"/>
      <w:lvlText w:val="%1."/>
      <w:lvlJc w:val="left"/>
      <w:pPr>
        <w:ind w:left="1079" w:hanging="364"/>
        <w:jc w:val="left"/>
      </w:pPr>
      <w:rPr>
        <w:rFonts w:hint="default" w:ascii="楷体" w:hAnsi="楷体" w:eastAsia="楷体" w:cs="楷体"/>
        <w:b/>
        <w:bCs/>
        <w:spacing w:val="0"/>
        <w:w w:val="99"/>
        <w:sz w:val="22"/>
        <w:szCs w:val="22"/>
        <w:lang w:val="zh-CN" w:eastAsia="zh-CN" w:bidi="zh-CN"/>
      </w:rPr>
    </w:lvl>
    <w:lvl w:ilvl="1" w:tentative="0">
      <w:start w:val="1"/>
      <w:numFmt w:val="decimal"/>
      <w:lvlText w:val="%1.%2"/>
      <w:lvlJc w:val="left"/>
      <w:pPr>
        <w:ind w:left="1133" w:hanging="420"/>
        <w:jc w:val="left"/>
      </w:pPr>
      <w:rPr>
        <w:rFonts w:hint="default" w:ascii="楷体" w:hAnsi="楷体" w:eastAsia="楷体" w:cs="楷体"/>
        <w:w w:val="100"/>
        <w:sz w:val="24"/>
        <w:szCs w:val="24"/>
        <w:lang w:val="zh-CN" w:eastAsia="zh-CN" w:bidi="zh-CN"/>
      </w:rPr>
    </w:lvl>
    <w:lvl w:ilvl="2" w:tentative="0">
      <w:start w:val="0"/>
      <w:numFmt w:val="bullet"/>
      <w:lvlText w:val="•"/>
      <w:lvlJc w:val="left"/>
      <w:pPr>
        <w:ind w:left="2136" w:hanging="420"/>
      </w:pPr>
      <w:rPr>
        <w:rFonts w:hint="default"/>
        <w:lang w:val="zh-CN" w:eastAsia="zh-CN" w:bidi="zh-CN"/>
      </w:rPr>
    </w:lvl>
    <w:lvl w:ilvl="3" w:tentative="0">
      <w:start w:val="0"/>
      <w:numFmt w:val="bullet"/>
      <w:lvlText w:val="•"/>
      <w:lvlJc w:val="left"/>
      <w:pPr>
        <w:ind w:left="3132" w:hanging="420"/>
      </w:pPr>
      <w:rPr>
        <w:rFonts w:hint="default"/>
        <w:lang w:val="zh-CN" w:eastAsia="zh-CN" w:bidi="zh-CN"/>
      </w:rPr>
    </w:lvl>
    <w:lvl w:ilvl="4" w:tentative="0">
      <w:start w:val="0"/>
      <w:numFmt w:val="bullet"/>
      <w:lvlText w:val="•"/>
      <w:lvlJc w:val="left"/>
      <w:pPr>
        <w:ind w:left="4128" w:hanging="420"/>
      </w:pPr>
      <w:rPr>
        <w:rFonts w:hint="default"/>
        <w:lang w:val="zh-CN" w:eastAsia="zh-CN" w:bidi="zh-CN"/>
      </w:rPr>
    </w:lvl>
    <w:lvl w:ilvl="5" w:tentative="0">
      <w:start w:val="0"/>
      <w:numFmt w:val="bullet"/>
      <w:lvlText w:val="•"/>
      <w:lvlJc w:val="left"/>
      <w:pPr>
        <w:ind w:left="5125" w:hanging="420"/>
      </w:pPr>
      <w:rPr>
        <w:rFonts w:hint="default"/>
        <w:lang w:val="zh-CN" w:eastAsia="zh-CN" w:bidi="zh-CN"/>
      </w:rPr>
    </w:lvl>
    <w:lvl w:ilvl="6" w:tentative="0">
      <w:start w:val="0"/>
      <w:numFmt w:val="bullet"/>
      <w:lvlText w:val="•"/>
      <w:lvlJc w:val="left"/>
      <w:pPr>
        <w:ind w:left="6121" w:hanging="420"/>
      </w:pPr>
      <w:rPr>
        <w:rFonts w:hint="default"/>
        <w:lang w:val="zh-CN" w:eastAsia="zh-CN" w:bidi="zh-CN"/>
      </w:rPr>
    </w:lvl>
    <w:lvl w:ilvl="7" w:tentative="0">
      <w:start w:val="0"/>
      <w:numFmt w:val="bullet"/>
      <w:lvlText w:val="•"/>
      <w:lvlJc w:val="left"/>
      <w:pPr>
        <w:ind w:left="7117" w:hanging="420"/>
      </w:pPr>
      <w:rPr>
        <w:rFonts w:hint="default"/>
        <w:lang w:val="zh-CN" w:eastAsia="zh-CN" w:bidi="zh-CN"/>
      </w:rPr>
    </w:lvl>
    <w:lvl w:ilvl="8" w:tentative="0">
      <w:start w:val="0"/>
      <w:numFmt w:val="bullet"/>
      <w:lvlText w:val="•"/>
      <w:lvlJc w:val="left"/>
      <w:pPr>
        <w:ind w:left="8113" w:hanging="420"/>
      </w:pPr>
      <w:rPr>
        <w:rFonts w:hint="default"/>
        <w:lang w:val="zh-CN" w:eastAsia="zh-CN" w:bidi="zh-CN"/>
      </w:rPr>
    </w:lvl>
  </w:abstractNum>
  <w:abstractNum w:abstractNumId="11">
    <w:nsid w:val="D7F9FE59"/>
    <w:multiLevelType w:val="multilevel"/>
    <w:tmpl w:val="D7F9FE59"/>
    <w:lvl w:ilvl="0" w:tentative="0">
      <w:start w:val="13"/>
      <w:numFmt w:val="decimal"/>
      <w:lvlText w:val="%1"/>
      <w:lvlJc w:val="left"/>
      <w:pPr>
        <w:ind w:left="232" w:hanging="840"/>
        <w:jc w:val="left"/>
      </w:pPr>
      <w:rPr>
        <w:rFonts w:hint="default"/>
        <w:lang w:val="zh-CN" w:eastAsia="zh-CN" w:bidi="zh-CN"/>
      </w:rPr>
    </w:lvl>
    <w:lvl w:ilvl="1" w:tentative="0">
      <w:start w:val="2"/>
      <w:numFmt w:val="decimal"/>
      <w:lvlText w:val="%1.%2"/>
      <w:lvlJc w:val="left"/>
      <w:pPr>
        <w:ind w:left="232" w:hanging="840"/>
        <w:jc w:val="left"/>
      </w:pPr>
      <w:rPr>
        <w:rFonts w:hint="default"/>
        <w:lang w:val="zh-CN" w:eastAsia="zh-CN" w:bidi="zh-CN"/>
      </w:rPr>
    </w:lvl>
    <w:lvl w:ilvl="2" w:tentative="0">
      <w:start w:val="2"/>
      <w:numFmt w:val="decimal"/>
      <w:lvlText w:val="%1.%2.%3"/>
      <w:lvlJc w:val="left"/>
      <w:pPr>
        <w:ind w:left="232" w:hanging="840"/>
        <w:jc w:val="left"/>
      </w:pPr>
      <w:rPr>
        <w:rFonts w:hint="default" w:ascii="楷体" w:hAnsi="楷体" w:eastAsia="楷体" w:cs="楷体"/>
        <w:w w:val="100"/>
        <w:sz w:val="24"/>
        <w:szCs w:val="24"/>
        <w:lang w:val="zh-CN" w:eastAsia="zh-CN" w:bidi="zh-CN"/>
      </w:rPr>
    </w:lvl>
    <w:lvl w:ilvl="3" w:tentative="0">
      <w:start w:val="0"/>
      <w:numFmt w:val="bullet"/>
      <w:lvlText w:val="•"/>
      <w:lvlJc w:val="left"/>
      <w:pPr>
        <w:ind w:left="3199" w:hanging="840"/>
      </w:pPr>
      <w:rPr>
        <w:rFonts w:hint="default"/>
        <w:lang w:val="zh-CN" w:eastAsia="zh-CN" w:bidi="zh-CN"/>
      </w:rPr>
    </w:lvl>
    <w:lvl w:ilvl="4" w:tentative="0">
      <w:start w:val="0"/>
      <w:numFmt w:val="bullet"/>
      <w:lvlText w:val="•"/>
      <w:lvlJc w:val="left"/>
      <w:pPr>
        <w:ind w:left="4186" w:hanging="840"/>
      </w:pPr>
      <w:rPr>
        <w:rFonts w:hint="default"/>
        <w:lang w:val="zh-CN" w:eastAsia="zh-CN" w:bidi="zh-CN"/>
      </w:rPr>
    </w:lvl>
    <w:lvl w:ilvl="5" w:tentative="0">
      <w:start w:val="0"/>
      <w:numFmt w:val="bullet"/>
      <w:lvlText w:val="•"/>
      <w:lvlJc w:val="left"/>
      <w:pPr>
        <w:ind w:left="5173" w:hanging="840"/>
      </w:pPr>
      <w:rPr>
        <w:rFonts w:hint="default"/>
        <w:lang w:val="zh-CN" w:eastAsia="zh-CN" w:bidi="zh-CN"/>
      </w:rPr>
    </w:lvl>
    <w:lvl w:ilvl="6" w:tentative="0">
      <w:start w:val="0"/>
      <w:numFmt w:val="bullet"/>
      <w:lvlText w:val="•"/>
      <w:lvlJc w:val="left"/>
      <w:pPr>
        <w:ind w:left="6159" w:hanging="840"/>
      </w:pPr>
      <w:rPr>
        <w:rFonts w:hint="default"/>
        <w:lang w:val="zh-CN" w:eastAsia="zh-CN" w:bidi="zh-CN"/>
      </w:rPr>
    </w:lvl>
    <w:lvl w:ilvl="7" w:tentative="0">
      <w:start w:val="0"/>
      <w:numFmt w:val="bullet"/>
      <w:lvlText w:val="•"/>
      <w:lvlJc w:val="left"/>
      <w:pPr>
        <w:ind w:left="7146" w:hanging="840"/>
      </w:pPr>
      <w:rPr>
        <w:rFonts w:hint="default"/>
        <w:lang w:val="zh-CN" w:eastAsia="zh-CN" w:bidi="zh-CN"/>
      </w:rPr>
    </w:lvl>
    <w:lvl w:ilvl="8" w:tentative="0">
      <w:start w:val="0"/>
      <w:numFmt w:val="bullet"/>
      <w:lvlText w:val="•"/>
      <w:lvlJc w:val="left"/>
      <w:pPr>
        <w:ind w:left="8133" w:hanging="840"/>
      </w:pPr>
      <w:rPr>
        <w:rFonts w:hint="default"/>
        <w:lang w:val="zh-CN" w:eastAsia="zh-CN" w:bidi="zh-CN"/>
      </w:rPr>
    </w:lvl>
  </w:abstractNum>
  <w:abstractNum w:abstractNumId="12">
    <w:nsid w:val="DCBA6B53"/>
    <w:multiLevelType w:val="multilevel"/>
    <w:tmpl w:val="DCBA6B53"/>
    <w:lvl w:ilvl="0" w:tentative="0">
      <w:start w:val="1"/>
      <w:numFmt w:val="decimal"/>
      <w:lvlText w:val="（%1）"/>
      <w:lvlJc w:val="left"/>
      <w:pPr>
        <w:ind w:left="232" w:hanging="601"/>
        <w:jc w:val="left"/>
      </w:pPr>
      <w:rPr>
        <w:rFonts w:hint="default" w:ascii="楷体" w:hAnsi="楷体" w:eastAsia="楷体" w:cs="楷体"/>
        <w:spacing w:val="-27"/>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13">
    <w:nsid w:val="E093A4B0"/>
    <w:multiLevelType w:val="multilevel"/>
    <w:tmpl w:val="E093A4B0"/>
    <w:lvl w:ilvl="0" w:tentative="0">
      <w:start w:val="1"/>
      <w:numFmt w:val="decimal"/>
      <w:lvlText w:val="%1."/>
      <w:lvlJc w:val="left"/>
      <w:pPr>
        <w:ind w:left="232" w:hanging="361"/>
        <w:jc w:val="left"/>
      </w:pPr>
      <w:rPr>
        <w:rFonts w:hint="default" w:ascii="楷体" w:hAnsi="楷体" w:eastAsia="楷体" w:cs="楷体"/>
        <w:spacing w:val="-41"/>
        <w:w w:val="100"/>
        <w:sz w:val="22"/>
        <w:szCs w:val="22"/>
        <w:lang w:val="zh-CN" w:eastAsia="zh-CN" w:bidi="zh-CN"/>
      </w:rPr>
    </w:lvl>
    <w:lvl w:ilvl="1" w:tentative="0">
      <w:start w:val="0"/>
      <w:numFmt w:val="bullet"/>
      <w:lvlText w:val="•"/>
      <w:lvlJc w:val="left"/>
      <w:pPr>
        <w:ind w:left="1226" w:hanging="361"/>
      </w:pPr>
      <w:rPr>
        <w:rFonts w:hint="default"/>
        <w:lang w:val="zh-CN" w:eastAsia="zh-CN" w:bidi="zh-CN"/>
      </w:rPr>
    </w:lvl>
    <w:lvl w:ilvl="2" w:tentative="0">
      <w:start w:val="0"/>
      <w:numFmt w:val="bullet"/>
      <w:lvlText w:val="•"/>
      <w:lvlJc w:val="left"/>
      <w:pPr>
        <w:ind w:left="2213" w:hanging="361"/>
      </w:pPr>
      <w:rPr>
        <w:rFonts w:hint="default"/>
        <w:lang w:val="zh-CN" w:eastAsia="zh-CN" w:bidi="zh-CN"/>
      </w:rPr>
    </w:lvl>
    <w:lvl w:ilvl="3" w:tentative="0">
      <w:start w:val="0"/>
      <w:numFmt w:val="bullet"/>
      <w:lvlText w:val="•"/>
      <w:lvlJc w:val="left"/>
      <w:pPr>
        <w:ind w:left="3199" w:hanging="361"/>
      </w:pPr>
      <w:rPr>
        <w:rFonts w:hint="default"/>
        <w:lang w:val="zh-CN" w:eastAsia="zh-CN" w:bidi="zh-CN"/>
      </w:rPr>
    </w:lvl>
    <w:lvl w:ilvl="4" w:tentative="0">
      <w:start w:val="0"/>
      <w:numFmt w:val="bullet"/>
      <w:lvlText w:val="•"/>
      <w:lvlJc w:val="left"/>
      <w:pPr>
        <w:ind w:left="4186" w:hanging="361"/>
      </w:pPr>
      <w:rPr>
        <w:rFonts w:hint="default"/>
        <w:lang w:val="zh-CN" w:eastAsia="zh-CN" w:bidi="zh-CN"/>
      </w:rPr>
    </w:lvl>
    <w:lvl w:ilvl="5" w:tentative="0">
      <w:start w:val="0"/>
      <w:numFmt w:val="bullet"/>
      <w:lvlText w:val="•"/>
      <w:lvlJc w:val="left"/>
      <w:pPr>
        <w:ind w:left="5173" w:hanging="361"/>
      </w:pPr>
      <w:rPr>
        <w:rFonts w:hint="default"/>
        <w:lang w:val="zh-CN" w:eastAsia="zh-CN" w:bidi="zh-CN"/>
      </w:rPr>
    </w:lvl>
    <w:lvl w:ilvl="6" w:tentative="0">
      <w:start w:val="0"/>
      <w:numFmt w:val="bullet"/>
      <w:lvlText w:val="•"/>
      <w:lvlJc w:val="left"/>
      <w:pPr>
        <w:ind w:left="6159" w:hanging="361"/>
      </w:pPr>
      <w:rPr>
        <w:rFonts w:hint="default"/>
        <w:lang w:val="zh-CN" w:eastAsia="zh-CN" w:bidi="zh-CN"/>
      </w:rPr>
    </w:lvl>
    <w:lvl w:ilvl="7" w:tentative="0">
      <w:start w:val="0"/>
      <w:numFmt w:val="bullet"/>
      <w:lvlText w:val="•"/>
      <w:lvlJc w:val="left"/>
      <w:pPr>
        <w:ind w:left="7146" w:hanging="361"/>
      </w:pPr>
      <w:rPr>
        <w:rFonts w:hint="default"/>
        <w:lang w:val="zh-CN" w:eastAsia="zh-CN" w:bidi="zh-CN"/>
      </w:rPr>
    </w:lvl>
    <w:lvl w:ilvl="8" w:tentative="0">
      <w:start w:val="0"/>
      <w:numFmt w:val="bullet"/>
      <w:lvlText w:val="•"/>
      <w:lvlJc w:val="left"/>
      <w:pPr>
        <w:ind w:left="8133" w:hanging="361"/>
      </w:pPr>
      <w:rPr>
        <w:rFonts w:hint="default"/>
        <w:lang w:val="zh-CN" w:eastAsia="zh-CN" w:bidi="zh-CN"/>
      </w:rPr>
    </w:lvl>
  </w:abstractNum>
  <w:abstractNum w:abstractNumId="14">
    <w:nsid w:val="F4B5D9F5"/>
    <w:multiLevelType w:val="multilevel"/>
    <w:tmpl w:val="F4B5D9F5"/>
    <w:lvl w:ilvl="0" w:tentative="0">
      <w:start w:val="13"/>
      <w:numFmt w:val="decimal"/>
      <w:lvlText w:val="%1."/>
      <w:lvlJc w:val="left"/>
      <w:pPr>
        <w:ind w:left="1200" w:hanging="485"/>
        <w:jc w:val="left"/>
      </w:pPr>
      <w:rPr>
        <w:rFonts w:hint="default" w:ascii="楷体" w:hAnsi="楷体" w:eastAsia="楷体" w:cs="楷体"/>
        <w:b/>
        <w:bCs/>
        <w:spacing w:val="0"/>
        <w:w w:val="99"/>
        <w:sz w:val="22"/>
        <w:szCs w:val="22"/>
        <w:lang w:val="zh-CN" w:eastAsia="zh-CN" w:bidi="zh-CN"/>
      </w:rPr>
    </w:lvl>
    <w:lvl w:ilvl="1" w:tentative="0">
      <w:start w:val="1"/>
      <w:numFmt w:val="decimal"/>
      <w:lvlText w:val="%1.%2"/>
      <w:lvlJc w:val="left"/>
      <w:pPr>
        <w:ind w:left="232" w:hanging="600"/>
        <w:jc w:val="left"/>
      </w:pPr>
      <w:rPr>
        <w:rFonts w:hint="default"/>
        <w:w w:val="100"/>
        <w:lang w:val="zh-CN" w:eastAsia="zh-CN" w:bidi="zh-CN"/>
      </w:rPr>
    </w:lvl>
    <w:lvl w:ilvl="2" w:tentative="0">
      <w:start w:val="1"/>
      <w:numFmt w:val="decimal"/>
      <w:lvlText w:val="%1.%2.%3"/>
      <w:lvlJc w:val="left"/>
      <w:pPr>
        <w:ind w:left="1553" w:hanging="600"/>
        <w:jc w:val="left"/>
      </w:pPr>
      <w:rPr>
        <w:rFonts w:hint="default"/>
        <w:w w:val="100"/>
        <w:lang w:val="zh-CN" w:eastAsia="zh-CN" w:bidi="zh-CN"/>
      </w:rPr>
    </w:lvl>
    <w:lvl w:ilvl="3" w:tentative="0">
      <w:start w:val="0"/>
      <w:numFmt w:val="bullet"/>
      <w:lvlText w:val="•"/>
      <w:lvlJc w:val="left"/>
      <w:pPr>
        <w:ind w:left="1560" w:hanging="600"/>
      </w:pPr>
      <w:rPr>
        <w:rFonts w:hint="default"/>
        <w:lang w:val="zh-CN" w:eastAsia="zh-CN" w:bidi="zh-CN"/>
      </w:rPr>
    </w:lvl>
    <w:lvl w:ilvl="4" w:tentative="0">
      <w:start w:val="0"/>
      <w:numFmt w:val="bullet"/>
      <w:lvlText w:val="•"/>
      <w:lvlJc w:val="left"/>
      <w:pPr>
        <w:ind w:left="2780" w:hanging="600"/>
      </w:pPr>
      <w:rPr>
        <w:rFonts w:hint="default"/>
        <w:lang w:val="zh-CN" w:eastAsia="zh-CN" w:bidi="zh-CN"/>
      </w:rPr>
    </w:lvl>
    <w:lvl w:ilvl="5" w:tentative="0">
      <w:start w:val="0"/>
      <w:numFmt w:val="bullet"/>
      <w:lvlText w:val="•"/>
      <w:lvlJc w:val="left"/>
      <w:pPr>
        <w:ind w:left="4001" w:hanging="600"/>
      </w:pPr>
      <w:rPr>
        <w:rFonts w:hint="default"/>
        <w:lang w:val="zh-CN" w:eastAsia="zh-CN" w:bidi="zh-CN"/>
      </w:rPr>
    </w:lvl>
    <w:lvl w:ilvl="6" w:tentative="0">
      <w:start w:val="0"/>
      <w:numFmt w:val="bullet"/>
      <w:lvlText w:val="•"/>
      <w:lvlJc w:val="left"/>
      <w:pPr>
        <w:ind w:left="5222" w:hanging="600"/>
      </w:pPr>
      <w:rPr>
        <w:rFonts w:hint="default"/>
        <w:lang w:val="zh-CN" w:eastAsia="zh-CN" w:bidi="zh-CN"/>
      </w:rPr>
    </w:lvl>
    <w:lvl w:ilvl="7" w:tentative="0">
      <w:start w:val="0"/>
      <w:numFmt w:val="bullet"/>
      <w:lvlText w:val="•"/>
      <w:lvlJc w:val="left"/>
      <w:pPr>
        <w:ind w:left="6443" w:hanging="600"/>
      </w:pPr>
      <w:rPr>
        <w:rFonts w:hint="default"/>
        <w:lang w:val="zh-CN" w:eastAsia="zh-CN" w:bidi="zh-CN"/>
      </w:rPr>
    </w:lvl>
    <w:lvl w:ilvl="8" w:tentative="0">
      <w:start w:val="0"/>
      <w:numFmt w:val="bullet"/>
      <w:lvlText w:val="•"/>
      <w:lvlJc w:val="left"/>
      <w:pPr>
        <w:ind w:left="7664" w:hanging="600"/>
      </w:pPr>
      <w:rPr>
        <w:rFonts w:hint="default"/>
        <w:lang w:val="zh-CN" w:eastAsia="zh-CN" w:bidi="zh-CN"/>
      </w:rPr>
    </w:lvl>
  </w:abstractNum>
  <w:abstractNum w:abstractNumId="15">
    <w:nsid w:val="F7735DC9"/>
    <w:multiLevelType w:val="multilevel"/>
    <w:tmpl w:val="F7735DC9"/>
    <w:lvl w:ilvl="0" w:tentative="0">
      <w:start w:val="1"/>
      <w:numFmt w:val="decimal"/>
      <w:lvlText w:val="%1."/>
      <w:lvlJc w:val="left"/>
      <w:pPr>
        <w:ind w:left="232" w:hanging="361"/>
        <w:jc w:val="left"/>
      </w:pPr>
      <w:rPr>
        <w:rFonts w:hint="default" w:ascii="楷体" w:hAnsi="楷体" w:eastAsia="楷体" w:cs="楷体"/>
        <w:spacing w:val="-17"/>
        <w:w w:val="100"/>
        <w:sz w:val="22"/>
        <w:szCs w:val="22"/>
        <w:lang w:val="zh-CN" w:eastAsia="zh-CN" w:bidi="zh-CN"/>
      </w:rPr>
    </w:lvl>
    <w:lvl w:ilvl="1" w:tentative="0">
      <w:start w:val="1"/>
      <w:numFmt w:val="decimal"/>
      <w:lvlText w:val="%1.%2"/>
      <w:lvlJc w:val="left"/>
      <w:pPr>
        <w:ind w:left="1074" w:hanging="361"/>
        <w:jc w:val="left"/>
      </w:pPr>
      <w:rPr>
        <w:rFonts w:hint="default" w:ascii="楷体" w:hAnsi="楷体" w:eastAsia="楷体" w:cs="楷体"/>
        <w:spacing w:val="-1"/>
        <w:w w:val="100"/>
        <w:sz w:val="22"/>
        <w:szCs w:val="22"/>
        <w:lang w:val="zh-CN" w:eastAsia="zh-CN" w:bidi="zh-CN"/>
      </w:rPr>
    </w:lvl>
    <w:lvl w:ilvl="2" w:tentative="0">
      <w:start w:val="0"/>
      <w:numFmt w:val="bullet"/>
      <w:lvlText w:val="•"/>
      <w:lvlJc w:val="left"/>
      <w:pPr>
        <w:ind w:left="2082" w:hanging="361"/>
      </w:pPr>
      <w:rPr>
        <w:rFonts w:hint="default"/>
        <w:lang w:val="zh-CN" w:eastAsia="zh-CN" w:bidi="zh-CN"/>
      </w:rPr>
    </w:lvl>
    <w:lvl w:ilvl="3" w:tentative="0">
      <w:start w:val="0"/>
      <w:numFmt w:val="bullet"/>
      <w:lvlText w:val="•"/>
      <w:lvlJc w:val="left"/>
      <w:pPr>
        <w:ind w:left="3085" w:hanging="361"/>
      </w:pPr>
      <w:rPr>
        <w:rFonts w:hint="default"/>
        <w:lang w:val="zh-CN" w:eastAsia="zh-CN" w:bidi="zh-CN"/>
      </w:rPr>
    </w:lvl>
    <w:lvl w:ilvl="4" w:tentative="0">
      <w:start w:val="0"/>
      <w:numFmt w:val="bullet"/>
      <w:lvlText w:val="•"/>
      <w:lvlJc w:val="left"/>
      <w:pPr>
        <w:ind w:left="4088" w:hanging="361"/>
      </w:pPr>
      <w:rPr>
        <w:rFonts w:hint="default"/>
        <w:lang w:val="zh-CN" w:eastAsia="zh-CN" w:bidi="zh-CN"/>
      </w:rPr>
    </w:lvl>
    <w:lvl w:ilvl="5" w:tentative="0">
      <w:start w:val="0"/>
      <w:numFmt w:val="bullet"/>
      <w:lvlText w:val="•"/>
      <w:lvlJc w:val="left"/>
      <w:pPr>
        <w:ind w:left="5091" w:hanging="361"/>
      </w:pPr>
      <w:rPr>
        <w:rFonts w:hint="default"/>
        <w:lang w:val="zh-CN" w:eastAsia="zh-CN" w:bidi="zh-CN"/>
      </w:rPr>
    </w:lvl>
    <w:lvl w:ilvl="6" w:tentative="0">
      <w:start w:val="0"/>
      <w:numFmt w:val="bullet"/>
      <w:lvlText w:val="•"/>
      <w:lvlJc w:val="left"/>
      <w:pPr>
        <w:ind w:left="6094" w:hanging="361"/>
      </w:pPr>
      <w:rPr>
        <w:rFonts w:hint="default"/>
        <w:lang w:val="zh-CN" w:eastAsia="zh-CN" w:bidi="zh-CN"/>
      </w:rPr>
    </w:lvl>
    <w:lvl w:ilvl="7" w:tentative="0">
      <w:start w:val="0"/>
      <w:numFmt w:val="bullet"/>
      <w:lvlText w:val="•"/>
      <w:lvlJc w:val="left"/>
      <w:pPr>
        <w:ind w:left="7097" w:hanging="361"/>
      </w:pPr>
      <w:rPr>
        <w:rFonts w:hint="default"/>
        <w:lang w:val="zh-CN" w:eastAsia="zh-CN" w:bidi="zh-CN"/>
      </w:rPr>
    </w:lvl>
    <w:lvl w:ilvl="8" w:tentative="0">
      <w:start w:val="0"/>
      <w:numFmt w:val="bullet"/>
      <w:lvlText w:val="•"/>
      <w:lvlJc w:val="left"/>
      <w:pPr>
        <w:ind w:left="8100" w:hanging="361"/>
      </w:pPr>
      <w:rPr>
        <w:rFonts w:hint="default"/>
        <w:lang w:val="zh-CN" w:eastAsia="zh-CN" w:bidi="zh-CN"/>
      </w:rPr>
    </w:lvl>
  </w:abstractNum>
  <w:abstractNum w:abstractNumId="16">
    <w:nsid w:val="0248C179"/>
    <w:multiLevelType w:val="multilevel"/>
    <w:tmpl w:val="0248C179"/>
    <w:lvl w:ilvl="0" w:tentative="0">
      <w:start w:val="6"/>
      <w:numFmt w:val="decimal"/>
      <w:lvlText w:val="%1."/>
      <w:lvlJc w:val="left"/>
      <w:pPr>
        <w:ind w:left="954" w:hanging="241"/>
        <w:jc w:val="left"/>
      </w:pPr>
      <w:rPr>
        <w:rFonts w:hint="default"/>
        <w:w w:val="100"/>
        <w:lang w:val="zh-CN" w:eastAsia="zh-CN" w:bidi="zh-CN"/>
      </w:rPr>
    </w:lvl>
    <w:lvl w:ilvl="1" w:tentative="0">
      <w:start w:val="1"/>
      <w:numFmt w:val="decimal"/>
      <w:lvlText w:val="%1.%2"/>
      <w:lvlJc w:val="left"/>
      <w:pPr>
        <w:ind w:left="715" w:hanging="600"/>
        <w:jc w:val="left"/>
      </w:pPr>
      <w:rPr>
        <w:rFonts w:hint="default"/>
        <w:w w:val="100"/>
        <w:lang w:val="zh-CN" w:eastAsia="zh-CN" w:bidi="zh-CN"/>
      </w:rPr>
    </w:lvl>
    <w:lvl w:ilvl="2" w:tentative="0">
      <w:start w:val="0"/>
      <w:numFmt w:val="bullet"/>
      <w:lvlText w:val="•"/>
      <w:lvlJc w:val="left"/>
      <w:pPr>
        <w:ind w:left="960" w:hanging="600"/>
      </w:pPr>
      <w:rPr>
        <w:rFonts w:hint="default"/>
        <w:lang w:val="zh-CN" w:eastAsia="zh-CN" w:bidi="zh-CN"/>
      </w:rPr>
    </w:lvl>
    <w:lvl w:ilvl="3" w:tentative="0">
      <w:start w:val="0"/>
      <w:numFmt w:val="bullet"/>
      <w:lvlText w:val="•"/>
      <w:lvlJc w:val="left"/>
      <w:pPr>
        <w:ind w:left="2103" w:hanging="600"/>
      </w:pPr>
      <w:rPr>
        <w:rFonts w:hint="default"/>
        <w:lang w:val="zh-CN" w:eastAsia="zh-CN" w:bidi="zh-CN"/>
      </w:rPr>
    </w:lvl>
    <w:lvl w:ilvl="4" w:tentative="0">
      <w:start w:val="0"/>
      <w:numFmt w:val="bullet"/>
      <w:lvlText w:val="•"/>
      <w:lvlJc w:val="left"/>
      <w:pPr>
        <w:ind w:left="3246" w:hanging="600"/>
      </w:pPr>
      <w:rPr>
        <w:rFonts w:hint="default"/>
        <w:lang w:val="zh-CN" w:eastAsia="zh-CN" w:bidi="zh-CN"/>
      </w:rPr>
    </w:lvl>
    <w:lvl w:ilvl="5" w:tentative="0">
      <w:start w:val="0"/>
      <w:numFmt w:val="bullet"/>
      <w:lvlText w:val="•"/>
      <w:lvlJc w:val="left"/>
      <w:pPr>
        <w:ind w:left="4389" w:hanging="600"/>
      </w:pPr>
      <w:rPr>
        <w:rFonts w:hint="default"/>
        <w:lang w:val="zh-CN" w:eastAsia="zh-CN" w:bidi="zh-CN"/>
      </w:rPr>
    </w:lvl>
    <w:lvl w:ilvl="6" w:tentative="0">
      <w:start w:val="0"/>
      <w:numFmt w:val="bullet"/>
      <w:lvlText w:val="•"/>
      <w:lvlJc w:val="left"/>
      <w:pPr>
        <w:ind w:left="5533" w:hanging="600"/>
      </w:pPr>
      <w:rPr>
        <w:rFonts w:hint="default"/>
        <w:lang w:val="zh-CN" w:eastAsia="zh-CN" w:bidi="zh-CN"/>
      </w:rPr>
    </w:lvl>
    <w:lvl w:ilvl="7" w:tentative="0">
      <w:start w:val="0"/>
      <w:numFmt w:val="bullet"/>
      <w:lvlText w:val="•"/>
      <w:lvlJc w:val="left"/>
      <w:pPr>
        <w:ind w:left="6676" w:hanging="600"/>
      </w:pPr>
      <w:rPr>
        <w:rFonts w:hint="default"/>
        <w:lang w:val="zh-CN" w:eastAsia="zh-CN" w:bidi="zh-CN"/>
      </w:rPr>
    </w:lvl>
    <w:lvl w:ilvl="8" w:tentative="0">
      <w:start w:val="0"/>
      <w:numFmt w:val="bullet"/>
      <w:lvlText w:val="•"/>
      <w:lvlJc w:val="left"/>
      <w:pPr>
        <w:ind w:left="7819" w:hanging="600"/>
      </w:pPr>
      <w:rPr>
        <w:rFonts w:hint="default"/>
        <w:lang w:val="zh-CN" w:eastAsia="zh-CN" w:bidi="zh-CN"/>
      </w:rPr>
    </w:lvl>
  </w:abstractNum>
  <w:abstractNum w:abstractNumId="17">
    <w:nsid w:val="03D62ECE"/>
    <w:multiLevelType w:val="multilevel"/>
    <w:tmpl w:val="03D62ECE"/>
    <w:lvl w:ilvl="0" w:tentative="0">
      <w:start w:val="2"/>
      <w:numFmt w:val="decimal"/>
      <w:lvlText w:val="%1"/>
      <w:lvlJc w:val="left"/>
      <w:pPr>
        <w:ind w:left="1433" w:hanging="720"/>
        <w:jc w:val="left"/>
      </w:pPr>
      <w:rPr>
        <w:rFonts w:hint="default"/>
        <w:lang w:val="zh-CN" w:eastAsia="zh-CN" w:bidi="zh-CN"/>
      </w:rPr>
    </w:lvl>
    <w:lvl w:ilvl="1" w:tentative="0">
      <w:start w:val="2"/>
      <w:numFmt w:val="decimal"/>
      <w:lvlText w:val="%1.%2"/>
      <w:lvlJc w:val="left"/>
      <w:pPr>
        <w:ind w:left="1433" w:hanging="720"/>
        <w:jc w:val="left"/>
      </w:pPr>
      <w:rPr>
        <w:rFonts w:hint="default"/>
        <w:lang w:val="zh-CN" w:eastAsia="zh-CN" w:bidi="zh-CN"/>
      </w:rPr>
    </w:lvl>
    <w:lvl w:ilvl="2" w:tentative="0">
      <w:start w:val="3"/>
      <w:numFmt w:val="decimal"/>
      <w:lvlText w:val="%1.%2.%3"/>
      <w:lvlJc w:val="left"/>
      <w:pPr>
        <w:ind w:left="1433" w:hanging="720"/>
        <w:jc w:val="left"/>
      </w:pPr>
      <w:rPr>
        <w:rFonts w:hint="default" w:ascii="楷体" w:hAnsi="楷体" w:eastAsia="楷体" w:cs="楷体"/>
        <w:w w:val="100"/>
        <w:sz w:val="24"/>
        <w:szCs w:val="24"/>
        <w:lang w:val="zh-CN" w:eastAsia="zh-CN" w:bidi="zh-CN"/>
      </w:rPr>
    </w:lvl>
    <w:lvl w:ilvl="3" w:tentative="0">
      <w:start w:val="1"/>
      <w:numFmt w:val="decimal"/>
      <w:lvlText w:val="%1.%2.%3.%4"/>
      <w:lvlJc w:val="left"/>
      <w:pPr>
        <w:ind w:left="232" w:hanging="960"/>
        <w:jc w:val="left"/>
      </w:pPr>
      <w:rPr>
        <w:rFonts w:hint="default" w:ascii="楷体" w:hAnsi="楷体" w:eastAsia="楷体" w:cs="楷体"/>
        <w:w w:val="100"/>
        <w:sz w:val="24"/>
        <w:szCs w:val="24"/>
        <w:lang w:val="zh-CN" w:eastAsia="zh-CN" w:bidi="zh-CN"/>
      </w:rPr>
    </w:lvl>
    <w:lvl w:ilvl="4" w:tentative="0">
      <w:start w:val="0"/>
      <w:numFmt w:val="bullet"/>
      <w:lvlText w:val="•"/>
      <w:lvlJc w:val="left"/>
      <w:pPr>
        <w:ind w:left="4328" w:hanging="960"/>
      </w:pPr>
      <w:rPr>
        <w:rFonts w:hint="default"/>
        <w:lang w:val="zh-CN" w:eastAsia="zh-CN" w:bidi="zh-CN"/>
      </w:rPr>
    </w:lvl>
    <w:lvl w:ilvl="5" w:tentative="0">
      <w:start w:val="0"/>
      <w:numFmt w:val="bullet"/>
      <w:lvlText w:val="•"/>
      <w:lvlJc w:val="left"/>
      <w:pPr>
        <w:ind w:left="5291" w:hanging="960"/>
      </w:pPr>
      <w:rPr>
        <w:rFonts w:hint="default"/>
        <w:lang w:val="zh-CN" w:eastAsia="zh-CN" w:bidi="zh-CN"/>
      </w:rPr>
    </w:lvl>
    <w:lvl w:ilvl="6" w:tentative="0">
      <w:start w:val="0"/>
      <w:numFmt w:val="bullet"/>
      <w:lvlText w:val="•"/>
      <w:lvlJc w:val="left"/>
      <w:pPr>
        <w:ind w:left="6254" w:hanging="960"/>
      </w:pPr>
      <w:rPr>
        <w:rFonts w:hint="default"/>
        <w:lang w:val="zh-CN" w:eastAsia="zh-CN" w:bidi="zh-CN"/>
      </w:rPr>
    </w:lvl>
    <w:lvl w:ilvl="7" w:tentative="0">
      <w:start w:val="0"/>
      <w:numFmt w:val="bullet"/>
      <w:lvlText w:val="•"/>
      <w:lvlJc w:val="left"/>
      <w:pPr>
        <w:ind w:left="7217" w:hanging="960"/>
      </w:pPr>
      <w:rPr>
        <w:rFonts w:hint="default"/>
        <w:lang w:val="zh-CN" w:eastAsia="zh-CN" w:bidi="zh-CN"/>
      </w:rPr>
    </w:lvl>
    <w:lvl w:ilvl="8" w:tentative="0">
      <w:start w:val="0"/>
      <w:numFmt w:val="bullet"/>
      <w:lvlText w:val="•"/>
      <w:lvlJc w:val="left"/>
      <w:pPr>
        <w:ind w:left="8180" w:hanging="960"/>
      </w:pPr>
      <w:rPr>
        <w:rFonts w:hint="default"/>
        <w:lang w:val="zh-CN" w:eastAsia="zh-CN" w:bidi="zh-CN"/>
      </w:rPr>
    </w:lvl>
  </w:abstractNum>
  <w:abstractNum w:abstractNumId="18">
    <w:nsid w:val="0E640482"/>
    <w:multiLevelType w:val="multilevel"/>
    <w:tmpl w:val="0E640482"/>
    <w:lvl w:ilvl="0" w:tentative="0">
      <w:start w:val="1"/>
      <w:numFmt w:val="decimal"/>
      <w:lvlText w:val="（%1）"/>
      <w:lvlJc w:val="left"/>
      <w:pPr>
        <w:ind w:left="1314" w:hanging="60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19">
    <w:nsid w:val="243FCF68"/>
    <w:multiLevelType w:val="multilevel"/>
    <w:tmpl w:val="243FCF68"/>
    <w:lvl w:ilvl="0" w:tentative="0">
      <w:start w:val="2"/>
      <w:numFmt w:val="decimal"/>
      <w:lvlText w:val="%1"/>
      <w:lvlJc w:val="left"/>
      <w:pPr>
        <w:ind w:left="1433" w:hanging="480"/>
        <w:jc w:val="left"/>
      </w:pPr>
      <w:rPr>
        <w:rFonts w:hint="default"/>
        <w:lang w:val="zh-CN" w:eastAsia="zh-CN" w:bidi="zh-CN"/>
      </w:rPr>
    </w:lvl>
    <w:lvl w:ilvl="1" w:tentative="0">
      <w:start w:val="1"/>
      <w:numFmt w:val="decimal"/>
      <w:lvlText w:val="%1-%2"/>
      <w:lvlJc w:val="left"/>
      <w:pPr>
        <w:ind w:left="1433" w:hanging="480"/>
        <w:jc w:val="left"/>
      </w:pPr>
      <w:rPr>
        <w:rFonts w:hint="default" w:ascii="楷体" w:hAnsi="楷体" w:eastAsia="楷体" w:cs="楷体"/>
        <w:spacing w:val="-1"/>
        <w:w w:val="100"/>
        <w:sz w:val="24"/>
        <w:szCs w:val="24"/>
        <w:lang w:val="zh-CN" w:eastAsia="zh-CN" w:bidi="zh-CN"/>
      </w:rPr>
    </w:lvl>
    <w:lvl w:ilvl="2" w:tentative="0">
      <w:start w:val="0"/>
      <w:numFmt w:val="bullet"/>
      <w:lvlText w:val="•"/>
      <w:lvlJc w:val="left"/>
      <w:pPr>
        <w:ind w:left="3173" w:hanging="480"/>
      </w:pPr>
      <w:rPr>
        <w:rFonts w:hint="default"/>
        <w:lang w:val="zh-CN" w:eastAsia="zh-CN" w:bidi="zh-CN"/>
      </w:rPr>
    </w:lvl>
    <w:lvl w:ilvl="3" w:tentative="0">
      <w:start w:val="0"/>
      <w:numFmt w:val="bullet"/>
      <w:lvlText w:val="•"/>
      <w:lvlJc w:val="left"/>
      <w:pPr>
        <w:ind w:left="4039" w:hanging="480"/>
      </w:pPr>
      <w:rPr>
        <w:rFonts w:hint="default"/>
        <w:lang w:val="zh-CN" w:eastAsia="zh-CN" w:bidi="zh-CN"/>
      </w:rPr>
    </w:lvl>
    <w:lvl w:ilvl="4" w:tentative="0">
      <w:start w:val="0"/>
      <w:numFmt w:val="bullet"/>
      <w:lvlText w:val="•"/>
      <w:lvlJc w:val="left"/>
      <w:pPr>
        <w:ind w:left="4906" w:hanging="480"/>
      </w:pPr>
      <w:rPr>
        <w:rFonts w:hint="default"/>
        <w:lang w:val="zh-CN" w:eastAsia="zh-CN" w:bidi="zh-CN"/>
      </w:rPr>
    </w:lvl>
    <w:lvl w:ilvl="5" w:tentative="0">
      <w:start w:val="0"/>
      <w:numFmt w:val="bullet"/>
      <w:lvlText w:val="•"/>
      <w:lvlJc w:val="left"/>
      <w:pPr>
        <w:ind w:left="5773" w:hanging="480"/>
      </w:pPr>
      <w:rPr>
        <w:rFonts w:hint="default"/>
        <w:lang w:val="zh-CN" w:eastAsia="zh-CN" w:bidi="zh-CN"/>
      </w:rPr>
    </w:lvl>
    <w:lvl w:ilvl="6" w:tentative="0">
      <w:start w:val="0"/>
      <w:numFmt w:val="bullet"/>
      <w:lvlText w:val="•"/>
      <w:lvlJc w:val="left"/>
      <w:pPr>
        <w:ind w:left="6639" w:hanging="480"/>
      </w:pPr>
      <w:rPr>
        <w:rFonts w:hint="default"/>
        <w:lang w:val="zh-CN" w:eastAsia="zh-CN" w:bidi="zh-CN"/>
      </w:rPr>
    </w:lvl>
    <w:lvl w:ilvl="7" w:tentative="0">
      <w:start w:val="0"/>
      <w:numFmt w:val="bullet"/>
      <w:lvlText w:val="•"/>
      <w:lvlJc w:val="left"/>
      <w:pPr>
        <w:ind w:left="7506" w:hanging="480"/>
      </w:pPr>
      <w:rPr>
        <w:rFonts w:hint="default"/>
        <w:lang w:val="zh-CN" w:eastAsia="zh-CN" w:bidi="zh-CN"/>
      </w:rPr>
    </w:lvl>
    <w:lvl w:ilvl="8" w:tentative="0">
      <w:start w:val="0"/>
      <w:numFmt w:val="bullet"/>
      <w:lvlText w:val="•"/>
      <w:lvlJc w:val="left"/>
      <w:pPr>
        <w:ind w:left="8373" w:hanging="480"/>
      </w:pPr>
      <w:rPr>
        <w:rFonts w:hint="default"/>
        <w:lang w:val="zh-CN" w:eastAsia="zh-CN" w:bidi="zh-CN"/>
      </w:rPr>
    </w:lvl>
  </w:abstractNum>
  <w:abstractNum w:abstractNumId="20">
    <w:nsid w:val="2470EC97"/>
    <w:multiLevelType w:val="multilevel"/>
    <w:tmpl w:val="2470EC97"/>
    <w:lvl w:ilvl="0" w:tentative="0">
      <w:start w:val="1"/>
      <w:numFmt w:val="decimal"/>
      <w:lvlText w:val="（%1）"/>
      <w:lvlJc w:val="left"/>
      <w:pPr>
        <w:ind w:left="1314" w:hanging="60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21">
    <w:nsid w:val="25B654F3"/>
    <w:multiLevelType w:val="multilevel"/>
    <w:tmpl w:val="25B654F3"/>
    <w:lvl w:ilvl="0" w:tentative="0">
      <w:start w:val="3"/>
      <w:numFmt w:val="decimal"/>
      <w:lvlText w:val="%1."/>
      <w:lvlJc w:val="left"/>
      <w:pPr>
        <w:ind w:left="1079" w:hanging="364"/>
        <w:jc w:val="left"/>
      </w:pPr>
      <w:rPr>
        <w:rFonts w:hint="default" w:ascii="楷体" w:hAnsi="楷体" w:eastAsia="楷体" w:cs="楷体"/>
        <w:b/>
        <w:bCs/>
        <w:spacing w:val="0"/>
        <w:w w:val="99"/>
        <w:sz w:val="22"/>
        <w:szCs w:val="22"/>
        <w:lang w:val="zh-CN" w:eastAsia="zh-CN" w:bidi="zh-CN"/>
      </w:rPr>
    </w:lvl>
    <w:lvl w:ilvl="1" w:tentative="0">
      <w:start w:val="0"/>
      <w:numFmt w:val="bullet"/>
      <w:lvlText w:val="•"/>
      <w:lvlJc w:val="left"/>
      <w:pPr>
        <w:ind w:left="1982" w:hanging="364"/>
      </w:pPr>
      <w:rPr>
        <w:rFonts w:hint="default"/>
        <w:lang w:val="zh-CN" w:eastAsia="zh-CN" w:bidi="zh-CN"/>
      </w:rPr>
    </w:lvl>
    <w:lvl w:ilvl="2" w:tentative="0">
      <w:start w:val="0"/>
      <w:numFmt w:val="bullet"/>
      <w:lvlText w:val="•"/>
      <w:lvlJc w:val="left"/>
      <w:pPr>
        <w:ind w:left="2885" w:hanging="364"/>
      </w:pPr>
      <w:rPr>
        <w:rFonts w:hint="default"/>
        <w:lang w:val="zh-CN" w:eastAsia="zh-CN" w:bidi="zh-CN"/>
      </w:rPr>
    </w:lvl>
    <w:lvl w:ilvl="3" w:tentative="0">
      <w:start w:val="0"/>
      <w:numFmt w:val="bullet"/>
      <w:lvlText w:val="•"/>
      <w:lvlJc w:val="left"/>
      <w:pPr>
        <w:ind w:left="3787" w:hanging="364"/>
      </w:pPr>
      <w:rPr>
        <w:rFonts w:hint="default"/>
        <w:lang w:val="zh-CN" w:eastAsia="zh-CN" w:bidi="zh-CN"/>
      </w:rPr>
    </w:lvl>
    <w:lvl w:ilvl="4" w:tentative="0">
      <w:start w:val="0"/>
      <w:numFmt w:val="bullet"/>
      <w:lvlText w:val="•"/>
      <w:lvlJc w:val="left"/>
      <w:pPr>
        <w:ind w:left="4690" w:hanging="364"/>
      </w:pPr>
      <w:rPr>
        <w:rFonts w:hint="default"/>
        <w:lang w:val="zh-CN" w:eastAsia="zh-CN" w:bidi="zh-CN"/>
      </w:rPr>
    </w:lvl>
    <w:lvl w:ilvl="5" w:tentative="0">
      <w:start w:val="0"/>
      <w:numFmt w:val="bullet"/>
      <w:lvlText w:val="•"/>
      <w:lvlJc w:val="left"/>
      <w:pPr>
        <w:ind w:left="5593" w:hanging="364"/>
      </w:pPr>
      <w:rPr>
        <w:rFonts w:hint="default"/>
        <w:lang w:val="zh-CN" w:eastAsia="zh-CN" w:bidi="zh-CN"/>
      </w:rPr>
    </w:lvl>
    <w:lvl w:ilvl="6" w:tentative="0">
      <w:start w:val="0"/>
      <w:numFmt w:val="bullet"/>
      <w:lvlText w:val="•"/>
      <w:lvlJc w:val="left"/>
      <w:pPr>
        <w:ind w:left="6495" w:hanging="364"/>
      </w:pPr>
      <w:rPr>
        <w:rFonts w:hint="default"/>
        <w:lang w:val="zh-CN" w:eastAsia="zh-CN" w:bidi="zh-CN"/>
      </w:rPr>
    </w:lvl>
    <w:lvl w:ilvl="7" w:tentative="0">
      <w:start w:val="0"/>
      <w:numFmt w:val="bullet"/>
      <w:lvlText w:val="•"/>
      <w:lvlJc w:val="left"/>
      <w:pPr>
        <w:ind w:left="7398" w:hanging="364"/>
      </w:pPr>
      <w:rPr>
        <w:rFonts w:hint="default"/>
        <w:lang w:val="zh-CN" w:eastAsia="zh-CN" w:bidi="zh-CN"/>
      </w:rPr>
    </w:lvl>
    <w:lvl w:ilvl="8" w:tentative="0">
      <w:start w:val="0"/>
      <w:numFmt w:val="bullet"/>
      <w:lvlText w:val="•"/>
      <w:lvlJc w:val="left"/>
      <w:pPr>
        <w:ind w:left="8301" w:hanging="364"/>
      </w:pPr>
      <w:rPr>
        <w:rFonts w:hint="default"/>
        <w:lang w:val="zh-CN" w:eastAsia="zh-CN" w:bidi="zh-CN"/>
      </w:rPr>
    </w:lvl>
  </w:abstractNum>
  <w:abstractNum w:abstractNumId="22">
    <w:nsid w:val="2A8F537B"/>
    <w:multiLevelType w:val="multilevel"/>
    <w:tmpl w:val="2A8F537B"/>
    <w:lvl w:ilvl="0" w:tentative="0">
      <w:start w:val="11"/>
      <w:numFmt w:val="decimal"/>
      <w:lvlText w:val="%1"/>
      <w:lvlJc w:val="left"/>
      <w:pPr>
        <w:ind w:left="232" w:hanging="788"/>
        <w:jc w:val="left"/>
      </w:pPr>
      <w:rPr>
        <w:rFonts w:hint="default"/>
        <w:lang w:val="zh-CN" w:eastAsia="zh-CN" w:bidi="zh-CN"/>
      </w:rPr>
    </w:lvl>
    <w:lvl w:ilvl="1" w:tentative="0">
      <w:start w:val="3"/>
      <w:numFmt w:val="decimal"/>
      <w:lvlText w:val="%1.%2"/>
      <w:lvlJc w:val="left"/>
      <w:pPr>
        <w:ind w:left="232" w:hanging="788"/>
        <w:jc w:val="left"/>
      </w:pPr>
      <w:rPr>
        <w:rFonts w:hint="default"/>
        <w:lang w:val="zh-CN" w:eastAsia="zh-CN" w:bidi="zh-CN"/>
      </w:rPr>
    </w:lvl>
    <w:lvl w:ilvl="2" w:tentative="0">
      <w:start w:val="1"/>
      <w:numFmt w:val="decimal"/>
      <w:lvlText w:val="%1.%2.%3"/>
      <w:lvlJc w:val="left"/>
      <w:pPr>
        <w:ind w:left="232" w:hanging="788"/>
        <w:jc w:val="left"/>
      </w:pPr>
      <w:rPr>
        <w:rFonts w:hint="default" w:ascii="楷体" w:hAnsi="楷体" w:eastAsia="楷体" w:cs="楷体"/>
        <w:b/>
        <w:bCs/>
        <w:spacing w:val="-1"/>
        <w:w w:val="99"/>
        <w:sz w:val="24"/>
        <w:szCs w:val="24"/>
        <w:lang w:val="zh-CN" w:eastAsia="zh-CN" w:bidi="zh-CN"/>
      </w:rPr>
    </w:lvl>
    <w:lvl w:ilvl="3" w:tentative="0">
      <w:start w:val="0"/>
      <w:numFmt w:val="bullet"/>
      <w:lvlText w:val="•"/>
      <w:lvlJc w:val="left"/>
      <w:pPr>
        <w:ind w:left="3199" w:hanging="788"/>
      </w:pPr>
      <w:rPr>
        <w:rFonts w:hint="default"/>
        <w:lang w:val="zh-CN" w:eastAsia="zh-CN" w:bidi="zh-CN"/>
      </w:rPr>
    </w:lvl>
    <w:lvl w:ilvl="4" w:tentative="0">
      <w:start w:val="0"/>
      <w:numFmt w:val="bullet"/>
      <w:lvlText w:val="•"/>
      <w:lvlJc w:val="left"/>
      <w:pPr>
        <w:ind w:left="4186" w:hanging="788"/>
      </w:pPr>
      <w:rPr>
        <w:rFonts w:hint="default"/>
        <w:lang w:val="zh-CN" w:eastAsia="zh-CN" w:bidi="zh-CN"/>
      </w:rPr>
    </w:lvl>
    <w:lvl w:ilvl="5" w:tentative="0">
      <w:start w:val="0"/>
      <w:numFmt w:val="bullet"/>
      <w:lvlText w:val="•"/>
      <w:lvlJc w:val="left"/>
      <w:pPr>
        <w:ind w:left="5173" w:hanging="788"/>
      </w:pPr>
      <w:rPr>
        <w:rFonts w:hint="default"/>
        <w:lang w:val="zh-CN" w:eastAsia="zh-CN" w:bidi="zh-CN"/>
      </w:rPr>
    </w:lvl>
    <w:lvl w:ilvl="6" w:tentative="0">
      <w:start w:val="0"/>
      <w:numFmt w:val="bullet"/>
      <w:lvlText w:val="•"/>
      <w:lvlJc w:val="left"/>
      <w:pPr>
        <w:ind w:left="6159" w:hanging="788"/>
      </w:pPr>
      <w:rPr>
        <w:rFonts w:hint="default"/>
        <w:lang w:val="zh-CN" w:eastAsia="zh-CN" w:bidi="zh-CN"/>
      </w:rPr>
    </w:lvl>
    <w:lvl w:ilvl="7" w:tentative="0">
      <w:start w:val="0"/>
      <w:numFmt w:val="bullet"/>
      <w:lvlText w:val="•"/>
      <w:lvlJc w:val="left"/>
      <w:pPr>
        <w:ind w:left="7146" w:hanging="788"/>
      </w:pPr>
      <w:rPr>
        <w:rFonts w:hint="default"/>
        <w:lang w:val="zh-CN" w:eastAsia="zh-CN" w:bidi="zh-CN"/>
      </w:rPr>
    </w:lvl>
    <w:lvl w:ilvl="8" w:tentative="0">
      <w:start w:val="0"/>
      <w:numFmt w:val="bullet"/>
      <w:lvlText w:val="•"/>
      <w:lvlJc w:val="left"/>
      <w:pPr>
        <w:ind w:left="8133" w:hanging="788"/>
      </w:pPr>
      <w:rPr>
        <w:rFonts w:hint="default"/>
        <w:lang w:val="zh-CN" w:eastAsia="zh-CN" w:bidi="zh-CN"/>
      </w:rPr>
    </w:lvl>
  </w:abstractNum>
  <w:abstractNum w:abstractNumId="23">
    <w:nsid w:val="2AC9DBEF"/>
    <w:multiLevelType w:val="singleLevel"/>
    <w:tmpl w:val="2AC9DBEF"/>
    <w:lvl w:ilvl="0" w:tentative="0">
      <w:start w:val="1"/>
      <w:numFmt w:val="chineseCounting"/>
      <w:lvlText w:val="第%1章"/>
      <w:lvlJc w:val="left"/>
      <w:pPr>
        <w:ind w:left="881" w:leftChars="0" w:firstLine="0" w:firstLineChars="0"/>
      </w:pPr>
      <w:rPr>
        <w:rFonts w:hint="eastAsia"/>
      </w:rPr>
    </w:lvl>
  </w:abstractNum>
  <w:abstractNum w:abstractNumId="24">
    <w:nsid w:val="39A0D9AC"/>
    <w:multiLevelType w:val="multilevel"/>
    <w:tmpl w:val="39A0D9AC"/>
    <w:lvl w:ilvl="0" w:tentative="0">
      <w:start w:val="2"/>
      <w:numFmt w:val="decimal"/>
      <w:lvlText w:val="%1"/>
      <w:lvlJc w:val="left"/>
      <w:pPr>
        <w:ind w:left="834" w:hanging="361"/>
        <w:jc w:val="left"/>
      </w:pPr>
      <w:rPr>
        <w:rFonts w:hint="default"/>
        <w:lang w:val="zh-CN" w:eastAsia="zh-CN" w:bidi="zh-CN"/>
      </w:rPr>
    </w:lvl>
    <w:lvl w:ilvl="1" w:tentative="0">
      <w:start w:val="1"/>
      <w:numFmt w:val="decimal"/>
      <w:lvlText w:val="%1.%2"/>
      <w:lvlJc w:val="left"/>
      <w:pPr>
        <w:ind w:left="834" w:hanging="361"/>
        <w:jc w:val="left"/>
      </w:pPr>
      <w:rPr>
        <w:rFonts w:hint="default" w:ascii="楷体" w:hAnsi="楷体" w:eastAsia="楷体" w:cs="楷体"/>
        <w:spacing w:val="-61"/>
        <w:w w:val="100"/>
        <w:sz w:val="22"/>
        <w:szCs w:val="22"/>
        <w:lang w:val="zh-CN" w:eastAsia="zh-CN" w:bidi="zh-CN"/>
      </w:rPr>
    </w:lvl>
    <w:lvl w:ilvl="2" w:tentative="0">
      <w:start w:val="0"/>
      <w:numFmt w:val="bullet"/>
      <w:lvlText w:val="•"/>
      <w:lvlJc w:val="left"/>
      <w:pPr>
        <w:ind w:left="2693" w:hanging="361"/>
      </w:pPr>
      <w:rPr>
        <w:rFonts w:hint="default"/>
        <w:lang w:val="zh-CN" w:eastAsia="zh-CN" w:bidi="zh-CN"/>
      </w:rPr>
    </w:lvl>
    <w:lvl w:ilvl="3" w:tentative="0">
      <w:start w:val="0"/>
      <w:numFmt w:val="bullet"/>
      <w:lvlText w:val="•"/>
      <w:lvlJc w:val="left"/>
      <w:pPr>
        <w:ind w:left="3619" w:hanging="361"/>
      </w:pPr>
      <w:rPr>
        <w:rFonts w:hint="default"/>
        <w:lang w:val="zh-CN" w:eastAsia="zh-CN" w:bidi="zh-CN"/>
      </w:rPr>
    </w:lvl>
    <w:lvl w:ilvl="4" w:tentative="0">
      <w:start w:val="0"/>
      <w:numFmt w:val="bullet"/>
      <w:lvlText w:val="•"/>
      <w:lvlJc w:val="left"/>
      <w:pPr>
        <w:ind w:left="4546" w:hanging="361"/>
      </w:pPr>
      <w:rPr>
        <w:rFonts w:hint="default"/>
        <w:lang w:val="zh-CN" w:eastAsia="zh-CN" w:bidi="zh-CN"/>
      </w:rPr>
    </w:lvl>
    <w:lvl w:ilvl="5" w:tentative="0">
      <w:start w:val="0"/>
      <w:numFmt w:val="bullet"/>
      <w:lvlText w:val="•"/>
      <w:lvlJc w:val="left"/>
      <w:pPr>
        <w:ind w:left="5473" w:hanging="361"/>
      </w:pPr>
      <w:rPr>
        <w:rFonts w:hint="default"/>
        <w:lang w:val="zh-CN" w:eastAsia="zh-CN" w:bidi="zh-CN"/>
      </w:rPr>
    </w:lvl>
    <w:lvl w:ilvl="6" w:tentative="0">
      <w:start w:val="0"/>
      <w:numFmt w:val="bullet"/>
      <w:lvlText w:val="•"/>
      <w:lvlJc w:val="left"/>
      <w:pPr>
        <w:ind w:left="6399" w:hanging="361"/>
      </w:pPr>
      <w:rPr>
        <w:rFonts w:hint="default"/>
        <w:lang w:val="zh-CN" w:eastAsia="zh-CN" w:bidi="zh-CN"/>
      </w:rPr>
    </w:lvl>
    <w:lvl w:ilvl="7" w:tentative="0">
      <w:start w:val="0"/>
      <w:numFmt w:val="bullet"/>
      <w:lvlText w:val="•"/>
      <w:lvlJc w:val="left"/>
      <w:pPr>
        <w:ind w:left="7326" w:hanging="361"/>
      </w:pPr>
      <w:rPr>
        <w:rFonts w:hint="default"/>
        <w:lang w:val="zh-CN" w:eastAsia="zh-CN" w:bidi="zh-CN"/>
      </w:rPr>
    </w:lvl>
    <w:lvl w:ilvl="8" w:tentative="0">
      <w:start w:val="0"/>
      <w:numFmt w:val="bullet"/>
      <w:lvlText w:val="•"/>
      <w:lvlJc w:val="left"/>
      <w:pPr>
        <w:ind w:left="8253" w:hanging="361"/>
      </w:pPr>
      <w:rPr>
        <w:rFonts w:hint="default"/>
        <w:lang w:val="zh-CN" w:eastAsia="zh-CN" w:bidi="zh-CN"/>
      </w:rPr>
    </w:lvl>
  </w:abstractNum>
  <w:abstractNum w:abstractNumId="25">
    <w:nsid w:val="3C415285"/>
    <w:multiLevelType w:val="singleLevel"/>
    <w:tmpl w:val="3C415285"/>
    <w:lvl w:ilvl="0" w:tentative="0">
      <w:start w:val="1"/>
      <w:numFmt w:val="decimal"/>
      <w:suff w:val="nothing"/>
      <w:lvlText w:val="%1、"/>
      <w:lvlJc w:val="left"/>
    </w:lvl>
  </w:abstractNum>
  <w:abstractNum w:abstractNumId="26">
    <w:nsid w:val="46A08BB8"/>
    <w:multiLevelType w:val="multilevel"/>
    <w:tmpl w:val="46A08BB8"/>
    <w:lvl w:ilvl="0" w:tentative="0">
      <w:start w:val="1"/>
      <w:numFmt w:val="decimal"/>
      <w:lvlText w:val="（%1）"/>
      <w:lvlJc w:val="left"/>
      <w:pPr>
        <w:ind w:left="232" w:hanging="601"/>
        <w:jc w:val="left"/>
      </w:pPr>
      <w:rPr>
        <w:rFonts w:hint="default" w:ascii="楷体" w:hAnsi="楷体" w:eastAsia="楷体" w:cs="楷体"/>
        <w:spacing w:val="-41"/>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27">
    <w:nsid w:val="4C1BAE26"/>
    <w:multiLevelType w:val="multilevel"/>
    <w:tmpl w:val="4C1BAE26"/>
    <w:lvl w:ilvl="0" w:tentative="0">
      <w:start w:val="1"/>
      <w:numFmt w:val="decimal"/>
      <w:lvlText w:val="（%1）"/>
      <w:lvlJc w:val="left"/>
      <w:pPr>
        <w:ind w:left="1314" w:hanging="60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28">
    <w:nsid w:val="4D4DC07F"/>
    <w:multiLevelType w:val="multilevel"/>
    <w:tmpl w:val="4D4DC07F"/>
    <w:lvl w:ilvl="0" w:tentative="0">
      <w:start w:val="12"/>
      <w:numFmt w:val="decimal"/>
      <w:lvlText w:val="%1"/>
      <w:lvlJc w:val="left"/>
      <w:pPr>
        <w:ind w:left="232" w:hanging="600"/>
        <w:jc w:val="left"/>
      </w:pPr>
      <w:rPr>
        <w:rFonts w:hint="default"/>
        <w:lang w:val="zh-CN" w:eastAsia="zh-CN" w:bidi="zh-CN"/>
      </w:rPr>
    </w:lvl>
    <w:lvl w:ilvl="1" w:tentative="0">
      <w:start w:val="1"/>
      <w:numFmt w:val="decimal"/>
      <w:lvlText w:val="%1.%2"/>
      <w:lvlJc w:val="left"/>
      <w:pPr>
        <w:ind w:left="232" w:hanging="600"/>
        <w:jc w:val="left"/>
      </w:pPr>
      <w:rPr>
        <w:rFonts w:hint="default" w:ascii="楷体" w:hAnsi="楷体" w:eastAsia="楷体" w:cs="楷体"/>
        <w:w w:val="100"/>
        <w:sz w:val="24"/>
        <w:szCs w:val="24"/>
        <w:lang w:val="zh-CN" w:eastAsia="zh-CN" w:bidi="zh-CN"/>
      </w:rPr>
    </w:lvl>
    <w:lvl w:ilvl="2" w:tentative="0">
      <w:start w:val="0"/>
      <w:numFmt w:val="bullet"/>
      <w:lvlText w:val="•"/>
      <w:lvlJc w:val="left"/>
      <w:pPr>
        <w:ind w:left="2213" w:hanging="600"/>
      </w:pPr>
      <w:rPr>
        <w:rFonts w:hint="default"/>
        <w:lang w:val="zh-CN" w:eastAsia="zh-CN" w:bidi="zh-CN"/>
      </w:rPr>
    </w:lvl>
    <w:lvl w:ilvl="3" w:tentative="0">
      <w:start w:val="0"/>
      <w:numFmt w:val="bullet"/>
      <w:lvlText w:val="•"/>
      <w:lvlJc w:val="left"/>
      <w:pPr>
        <w:ind w:left="3199" w:hanging="600"/>
      </w:pPr>
      <w:rPr>
        <w:rFonts w:hint="default"/>
        <w:lang w:val="zh-CN" w:eastAsia="zh-CN" w:bidi="zh-CN"/>
      </w:rPr>
    </w:lvl>
    <w:lvl w:ilvl="4" w:tentative="0">
      <w:start w:val="0"/>
      <w:numFmt w:val="bullet"/>
      <w:lvlText w:val="•"/>
      <w:lvlJc w:val="left"/>
      <w:pPr>
        <w:ind w:left="4186" w:hanging="600"/>
      </w:pPr>
      <w:rPr>
        <w:rFonts w:hint="default"/>
        <w:lang w:val="zh-CN" w:eastAsia="zh-CN" w:bidi="zh-CN"/>
      </w:rPr>
    </w:lvl>
    <w:lvl w:ilvl="5" w:tentative="0">
      <w:start w:val="0"/>
      <w:numFmt w:val="bullet"/>
      <w:lvlText w:val="•"/>
      <w:lvlJc w:val="left"/>
      <w:pPr>
        <w:ind w:left="5173" w:hanging="600"/>
      </w:pPr>
      <w:rPr>
        <w:rFonts w:hint="default"/>
        <w:lang w:val="zh-CN" w:eastAsia="zh-CN" w:bidi="zh-CN"/>
      </w:rPr>
    </w:lvl>
    <w:lvl w:ilvl="6" w:tentative="0">
      <w:start w:val="0"/>
      <w:numFmt w:val="bullet"/>
      <w:lvlText w:val="•"/>
      <w:lvlJc w:val="left"/>
      <w:pPr>
        <w:ind w:left="6159" w:hanging="600"/>
      </w:pPr>
      <w:rPr>
        <w:rFonts w:hint="default"/>
        <w:lang w:val="zh-CN" w:eastAsia="zh-CN" w:bidi="zh-CN"/>
      </w:rPr>
    </w:lvl>
    <w:lvl w:ilvl="7" w:tentative="0">
      <w:start w:val="0"/>
      <w:numFmt w:val="bullet"/>
      <w:lvlText w:val="•"/>
      <w:lvlJc w:val="left"/>
      <w:pPr>
        <w:ind w:left="7146" w:hanging="600"/>
      </w:pPr>
      <w:rPr>
        <w:rFonts w:hint="default"/>
        <w:lang w:val="zh-CN" w:eastAsia="zh-CN" w:bidi="zh-CN"/>
      </w:rPr>
    </w:lvl>
    <w:lvl w:ilvl="8" w:tentative="0">
      <w:start w:val="0"/>
      <w:numFmt w:val="bullet"/>
      <w:lvlText w:val="•"/>
      <w:lvlJc w:val="left"/>
      <w:pPr>
        <w:ind w:left="8133" w:hanging="600"/>
      </w:pPr>
      <w:rPr>
        <w:rFonts w:hint="default"/>
        <w:lang w:val="zh-CN" w:eastAsia="zh-CN" w:bidi="zh-CN"/>
      </w:rPr>
    </w:lvl>
  </w:abstractNum>
  <w:abstractNum w:abstractNumId="29">
    <w:nsid w:val="4D94DA66"/>
    <w:multiLevelType w:val="multilevel"/>
    <w:tmpl w:val="4D94DA66"/>
    <w:lvl w:ilvl="0" w:tentative="0">
      <w:start w:val="1"/>
      <w:numFmt w:val="decimal"/>
      <w:lvlText w:val="（%1）"/>
      <w:lvlJc w:val="left"/>
      <w:pPr>
        <w:ind w:left="1112" w:hanging="60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2018" w:hanging="601"/>
      </w:pPr>
      <w:rPr>
        <w:rFonts w:hint="default"/>
        <w:lang w:val="zh-CN" w:eastAsia="zh-CN" w:bidi="zh-CN"/>
      </w:rPr>
    </w:lvl>
    <w:lvl w:ilvl="2" w:tentative="0">
      <w:start w:val="0"/>
      <w:numFmt w:val="bullet"/>
      <w:lvlText w:val="•"/>
      <w:lvlJc w:val="left"/>
      <w:pPr>
        <w:ind w:left="2917" w:hanging="601"/>
      </w:pPr>
      <w:rPr>
        <w:rFonts w:hint="default"/>
        <w:lang w:val="zh-CN" w:eastAsia="zh-CN" w:bidi="zh-CN"/>
      </w:rPr>
    </w:lvl>
    <w:lvl w:ilvl="3" w:tentative="0">
      <w:start w:val="0"/>
      <w:numFmt w:val="bullet"/>
      <w:lvlText w:val="•"/>
      <w:lvlJc w:val="left"/>
      <w:pPr>
        <w:ind w:left="3815" w:hanging="601"/>
      </w:pPr>
      <w:rPr>
        <w:rFonts w:hint="default"/>
        <w:lang w:val="zh-CN" w:eastAsia="zh-CN" w:bidi="zh-CN"/>
      </w:rPr>
    </w:lvl>
    <w:lvl w:ilvl="4" w:tentative="0">
      <w:start w:val="0"/>
      <w:numFmt w:val="bullet"/>
      <w:lvlText w:val="•"/>
      <w:lvlJc w:val="left"/>
      <w:pPr>
        <w:ind w:left="4714" w:hanging="601"/>
      </w:pPr>
      <w:rPr>
        <w:rFonts w:hint="default"/>
        <w:lang w:val="zh-CN" w:eastAsia="zh-CN" w:bidi="zh-CN"/>
      </w:rPr>
    </w:lvl>
    <w:lvl w:ilvl="5" w:tentative="0">
      <w:start w:val="0"/>
      <w:numFmt w:val="bullet"/>
      <w:lvlText w:val="•"/>
      <w:lvlJc w:val="left"/>
      <w:pPr>
        <w:ind w:left="5613" w:hanging="601"/>
      </w:pPr>
      <w:rPr>
        <w:rFonts w:hint="default"/>
        <w:lang w:val="zh-CN" w:eastAsia="zh-CN" w:bidi="zh-CN"/>
      </w:rPr>
    </w:lvl>
    <w:lvl w:ilvl="6" w:tentative="0">
      <w:start w:val="0"/>
      <w:numFmt w:val="bullet"/>
      <w:lvlText w:val="•"/>
      <w:lvlJc w:val="left"/>
      <w:pPr>
        <w:ind w:left="6511" w:hanging="601"/>
      </w:pPr>
      <w:rPr>
        <w:rFonts w:hint="default"/>
        <w:lang w:val="zh-CN" w:eastAsia="zh-CN" w:bidi="zh-CN"/>
      </w:rPr>
    </w:lvl>
    <w:lvl w:ilvl="7" w:tentative="0">
      <w:start w:val="0"/>
      <w:numFmt w:val="bullet"/>
      <w:lvlText w:val="•"/>
      <w:lvlJc w:val="left"/>
      <w:pPr>
        <w:ind w:left="7410" w:hanging="601"/>
      </w:pPr>
      <w:rPr>
        <w:rFonts w:hint="default"/>
        <w:lang w:val="zh-CN" w:eastAsia="zh-CN" w:bidi="zh-CN"/>
      </w:rPr>
    </w:lvl>
    <w:lvl w:ilvl="8" w:tentative="0">
      <w:start w:val="0"/>
      <w:numFmt w:val="bullet"/>
      <w:lvlText w:val="•"/>
      <w:lvlJc w:val="left"/>
      <w:pPr>
        <w:ind w:left="8309" w:hanging="601"/>
      </w:pPr>
      <w:rPr>
        <w:rFonts w:hint="default"/>
        <w:lang w:val="zh-CN" w:eastAsia="zh-CN" w:bidi="zh-CN"/>
      </w:rPr>
    </w:lvl>
  </w:abstractNum>
  <w:abstractNum w:abstractNumId="30">
    <w:nsid w:val="58765686"/>
    <w:multiLevelType w:val="multilevel"/>
    <w:tmpl w:val="58765686"/>
    <w:lvl w:ilvl="0" w:tentative="0">
      <w:start w:val="4"/>
      <w:numFmt w:val="decimal"/>
      <w:lvlText w:val="%1"/>
      <w:lvlJc w:val="left"/>
      <w:pPr>
        <w:ind w:left="232" w:hanging="480"/>
        <w:jc w:val="left"/>
      </w:pPr>
      <w:rPr>
        <w:rFonts w:hint="default"/>
        <w:lang w:val="zh-CN" w:eastAsia="zh-CN" w:bidi="zh-CN"/>
      </w:rPr>
    </w:lvl>
    <w:lvl w:ilvl="1" w:tentative="0">
      <w:start w:val="1"/>
      <w:numFmt w:val="decimal"/>
      <w:lvlText w:val="%1.%2"/>
      <w:lvlJc w:val="left"/>
      <w:pPr>
        <w:ind w:left="232" w:hanging="480"/>
        <w:jc w:val="left"/>
      </w:pPr>
      <w:rPr>
        <w:rFonts w:hint="default" w:ascii="楷体" w:hAnsi="楷体" w:eastAsia="楷体" w:cs="楷体"/>
        <w:spacing w:val="-13"/>
        <w:w w:val="100"/>
        <w:sz w:val="24"/>
        <w:szCs w:val="24"/>
        <w:lang w:val="zh-CN" w:eastAsia="zh-CN" w:bidi="zh-CN"/>
      </w:rPr>
    </w:lvl>
    <w:lvl w:ilvl="2" w:tentative="0">
      <w:start w:val="0"/>
      <w:numFmt w:val="bullet"/>
      <w:lvlText w:val="•"/>
      <w:lvlJc w:val="left"/>
      <w:pPr>
        <w:ind w:left="2213" w:hanging="480"/>
      </w:pPr>
      <w:rPr>
        <w:rFonts w:hint="default"/>
        <w:lang w:val="zh-CN" w:eastAsia="zh-CN" w:bidi="zh-CN"/>
      </w:rPr>
    </w:lvl>
    <w:lvl w:ilvl="3" w:tentative="0">
      <w:start w:val="0"/>
      <w:numFmt w:val="bullet"/>
      <w:lvlText w:val="•"/>
      <w:lvlJc w:val="left"/>
      <w:pPr>
        <w:ind w:left="3199" w:hanging="480"/>
      </w:pPr>
      <w:rPr>
        <w:rFonts w:hint="default"/>
        <w:lang w:val="zh-CN" w:eastAsia="zh-CN" w:bidi="zh-CN"/>
      </w:rPr>
    </w:lvl>
    <w:lvl w:ilvl="4" w:tentative="0">
      <w:start w:val="0"/>
      <w:numFmt w:val="bullet"/>
      <w:lvlText w:val="•"/>
      <w:lvlJc w:val="left"/>
      <w:pPr>
        <w:ind w:left="4186" w:hanging="480"/>
      </w:pPr>
      <w:rPr>
        <w:rFonts w:hint="default"/>
        <w:lang w:val="zh-CN" w:eastAsia="zh-CN" w:bidi="zh-CN"/>
      </w:rPr>
    </w:lvl>
    <w:lvl w:ilvl="5" w:tentative="0">
      <w:start w:val="0"/>
      <w:numFmt w:val="bullet"/>
      <w:lvlText w:val="•"/>
      <w:lvlJc w:val="left"/>
      <w:pPr>
        <w:ind w:left="5173" w:hanging="480"/>
      </w:pPr>
      <w:rPr>
        <w:rFonts w:hint="default"/>
        <w:lang w:val="zh-CN" w:eastAsia="zh-CN" w:bidi="zh-CN"/>
      </w:rPr>
    </w:lvl>
    <w:lvl w:ilvl="6" w:tentative="0">
      <w:start w:val="0"/>
      <w:numFmt w:val="bullet"/>
      <w:lvlText w:val="•"/>
      <w:lvlJc w:val="left"/>
      <w:pPr>
        <w:ind w:left="6159" w:hanging="480"/>
      </w:pPr>
      <w:rPr>
        <w:rFonts w:hint="default"/>
        <w:lang w:val="zh-CN" w:eastAsia="zh-CN" w:bidi="zh-CN"/>
      </w:rPr>
    </w:lvl>
    <w:lvl w:ilvl="7" w:tentative="0">
      <w:start w:val="0"/>
      <w:numFmt w:val="bullet"/>
      <w:lvlText w:val="•"/>
      <w:lvlJc w:val="left"/>
      <w:pPr>
        <w:ind w:left="7146" w:hanging="480"/>
      </w:pPr>
      <w:rPr>
        <w:rFonts w:hint="default"/>
        <w:lang w:val="zh-CN" w:eastAsia="zh-CN" w:bidi="zh-CN"/>
      </w:rPr>
    </w:lvl>
    <w:lvl w:ilvl="8" w:tentative="0">
      <w:start w:val="0"/>
      <w:numFmt w:val="bullet"/>
      <w:lvlText w:val="•"/>
      <w:lvlJc w:val="left"/>
      <w:pPr>
        <w:ind w:left="8133" w:hanging="480"/>
      </w:pPr>
      <w:rPr>
        <w:rFonts w:hint="default"/>
        <w:lang w:val="zh-CN" w:eastAsia="zh-CN" w:bidi="zh-CN"/>
      </w:rPr>
    </w:lvl>
  </w:abstractNum>
  <w:abstractNum w:abstractNumId="31">
    <w:nsid w:val="59ADCABA"/>
    <w:multiLevelType w:val="multilevel"/>
    <w:tmpl w:val="59ADCABA"/>
    <w:lvl w:ilvl="0" w:tentative="0">
      <w:start w:val="2"/>
      <w:numFmt w:val="decimal"/>
      <w:lvlText w:val="%1"/>
      <w:lvlJc w:val="left"/>
      <w:pPr>
        <w:ind w:left="1200" w:hanging="485"/>
        <w:jc w:val="left"/>
      </w:pPr>
      <w:rPr>
        <w:rFonts w:hint="default"/>
        <w:lang w:val="zh-CN" w:eastAsia="zh-CN" w:bidi="zh-CN"/>
      </w:rPr>
    </w:lvl>
    <w:lvl w:ilvl="1" w:tentative="0">
      <w:start w:val="1"/>
      <w:numFmt w:val="decimal"/>
      <w:lvlText w:val="%1.%2"/>
      <w:lvlJc w:val="left"/>
      <w:pPr>
        <w:ind w:left="1200" w:hanging="485"/>
        <w:jc w:val="left"/>
      </w:pPr>
      <w:rPr>
        <w:rFonts w:hint="default" w:ascii="楷体" w:hAnsi="楷体" w:eastAsia="楷体" w:cs="楷体"/>
        <w:b/>
        <w:bCs/>
        <w:spacing w:val="0"/>
        <w:w w:val="99"/>
        <w:sz w:val="24"/>
        <w:szCs w:val="24"/>
        <w:lang w:val="zh-CN" w:eastAsia="zh-CN" w:bidi="zh-CN"/>
      </w:rPr>
    </w:lvl>
    <w:lvl w:ilvl="2" w:tentative="0">
      <w:start w:val="1"/>
      <w:numFmt w:val="decimal"/>
      <w:lvlText w:val="%1.%2.%3"/>
      <w:lvlJc w:val="left"/>
      <w:pPr>
        <w:ind w:left="1433" w:hanging="720"/>
        <w:jc w:val="left"/>
      </w:pPr>
      <w:rPr>
        <w:rFonts w:hint="default"/>
        <w:w w:val="100"/>
        <w:lang w:val="zh-CN" w:eastAsia="zh-CN" w:bidi="zh-CN"/>
      </w:rPr>
    </w:lvl>
    <w:lvl w:ilvl="3" w:tentative="0">
      <w:start w:val="1"/>
      <w:numFmt w:val="decimal"/>
      <w:lvlText w:val="%1.%2.%3.%4"/>
      <w:lvlJc w:val="left"/>
      <w:pPr>
        <w:ind w:left="1673" w:hanging="960"/>
        <w:jc w:val="left"/>
      </w:pPr>
      <w:rPr>
        <w:rFonts w:hint="default" w:ascii="楷体" w:hAnsi="楷体" w:eastAsia="楷体" w:cs="楷体"/>
        <w:w w:val="100"/>
        <w:sz w:val="24"/>
        <w:szCs w:val="24"/>
        <w:lang w:val="zh-CN" w:eastAsia="zh-CN" w:bidi="zh-CN"/>
      </w:rPr>
    </w:lvl>
    <w:lvl w:ilvl="4" w:tentative="0">
      <w:start w:val="1"/>
      <w:numFmt w:val="decimal"/>
      <w:lvlText w:val="%1.%2.%3.%4.%5"/>
      <w:lvlJc w:val="left"/>
      <w:pPr>
        <w:ind w:left="232" w:hanging="1200"/>
        <w:jc w:val="left"/>
      </w:pPr>
      <w:rPr>
        <w:rFonts w:hint="default" w:ascii="楷体" w:hAnsi="楷体" w:eastAsia="楷体" w:cs="楷体"/>
        <w:w w:val="100"/>
        <w:sz w:val="24"/>
        <w:szCs w:val="24"/>
        <w:lang w:val="zh-CN" w:eastAsia="zh-CN" w:bidi="zh-CN"/>
      </w:rPr>
    </w:lvl>
    <w:lvl w:ilvl="5" w:tentative="0">
      <w:start w:val="0"/>
      <w:numFmt w:val="bullet"/>
      <w:lvlText w:val="•"/>
      <w:lvlJc w:val="left"/>
      <w:pPr>
        <w:ind w:left="3284" w:hanging="1200"/>
      </w:pPr>
      <w:rPr>
        <w:rFonts w:hint="default"/>
        <w:lang w:val="zh-CN" w:eastAsia="zh-CN" w:bidi="zh-CN"/>
      </w:rPr>
    </w:lvl>
    <w:lvl w:ilvl="6" w:tentative="0">
      <w:start w:val="0"/>
      <w:numFmt w:val="bullet"/>
      <w:lvlText w:val="•"/>
      <w:lvlJc w:val="left"/>
      <w:pPr>
        <w:ind w:left="4648" w:hanging="1200"/>
      </w:pPr>
      <w:rPr>
        <w:rFonts w:hint="default"/>
        <w:lang w:val="zh-CN" w:eastAsia="zh-CN" w:bidi="zh-CN"/>
      </w:rPr>
    </w:lvl>
    <w:lvl w:ilvl="7" w:tentative="0">
      <w:start w:val="0"/>
      <w:numFmt w:val="bullet"/>
      <w:lvlText w:val="•"/>
      <w:lvlJc w:val="left"/>
      <w:pPr>
        <w:ind w:left="6013" w:hanging="1200"/>
      </w:pPr>
      <w:rPr>
        <w:rFonts w:hint="default"/>
        <w:lang w:val="zh-CN" w:eastAsia="zh-CN" w:bidi="zh-CN"/>
      </w:rPr>
    </w:lvl>
    <w:lvl w:ilvl="8" w:tentative="0">
      <w:start w:val="0"/>
      <w:numFmt w:val="bullet"/>
      <w:lvlText w:val="•"/>
      <w:lvlJc w:val="left"/>
      <w:pPr>
        <w:ind w:left="7377" w:hanging="1200"/>
      </w:pPr>
      <w:rPr>
        <w:rFonts w:hint="default"/>
        <w:lang w:val="zh-CN" w:eastAsia="zh-CN" w:bidi="zh-CN"/>
      </w:rPr>
    </w:lvl>
  </w:abstractNum>
  <w:abstractNum w:abstractNumId="32">
    <w:nsid w:val="5A241D34"/>
    <w:multiLevelType w:val="multilevel"/>
    <w:tmpl w:val="5A241D34"/>
    <w:lvl w:ilvl="0" w:tentative="0">
      <w:start w:val="11"/>
      <w:numFmt w:val="decimal"/>
      <w:lvlText w:val="%1"/>
      <w:lvlJc w:val="left"/>
      <w:pPr>
        <w:ind w:left="232" w:hanging="600"/>
        <w:jc w:val="left"/>
      </w:pPr>
      <w:rPr>
        <w:rFonts w:hint="default"/>
        <w:lang w:val="zh-CN" w:eastAsia="zh-CN" w:bidi="zh-CN"/>
      </w:rPr>
    </w:lvl>
    <w:lvl w:ilvl="1" w:tentative="0">
      <w:start w:val="4"/>
      <w:numFmt w:val="decimal"/>
      <w:lvlText w:val="%1.%2"/>
      <w:lvlJc w:val="left"/>
      <w:pPr>
        <w:ind w:left="232" w:hanging="600"/>
        <w:jc w:val="left"/>
      </w:pPr>
      <w:rPr>
        <w:rFonts w:hint="default" w:ascii="楷体" w:hAnsi="楷体" w:eastAsia="楷体" w:cs="楷体"/>
        <w:w w:val="100"/>
        <w:sz w:val="24"/>
        <w:szCs w:val="24"/>
        <w:lang w:val="zh-CN" w:eastAsia="zh-CN" w:bidi="zh-CN"/>
      </w:rPr>
    </w:lvl>
    <w:lvl w:ilvl="2" w:tentative="0">
      <w:start w:val="0"/>
      <w:numFmt w:val="bullet"/>
      <w:lvlText w:val="•"/>
      <w:lvlJc w:val="left"/>
      <w:pPr>
        <w:ind w:left="2213" w:hanging="600"/>
      </w:pPr>
      <w:rPr>
        <w:rFonts w:hint="default"/>
        <w:lang w:val="zh-CN" w:eastAsia="zh-CN" w:bidi="zh-CN"/>
      </w:rPr>
    </w:lvl>
    <w:lvl w:ilvl="3" w:tentative="0">
      <w:start w:val="0"/>
      <w:numFmt w:val="bullet"/>
      <w:lvlText w:val="•"/>
      <w:lvlJc w:val="left"/>
      <w:pPr>
        <w:ind w:left="3199" w:hanging="600"/>
      </w:pPr>
      <w:rPr>
        <w:rFonts w:hint="default"/>
        <w:lang w:val="zh-CN" w:eastAsia="zh-CN" w:bidi="zh-CN"/>
      </w:rPr>
    </w:lvl>
    <w:lvl w:ilvl="4" w:tentative="0">
      <w:start w:val="0"/>
      <w:numFmt w:val="bullet"/>
      <w:lvlText w:val="•"/>
      <w:lvlJc w:val="left"/>
      <w:pPr>
        <w:ind w:left="4186" w:hanging="600"/>
      </w:pPr>
      <w:rPr>
        <w:rFonts w:hint="default"/>
        <w:lang w:val="zh-CN" w:eastAsia="zh-CN" w:bidi="zh-CN"/>
      </w:rPr>
    </w:lvl>
    <w:lvl w:ilvl="5" w:tentative="0">
      <w:start w:val="0"/>
      <w:numFmt w:val="bullet"/>
      <w:lvlText w:val="•"/>
      <w:lvlJc w:val="left"/>
      <w:pPr>
        <w:ind w:left="5173" w:hanging="600"/>
      </w:pPr>
      <w:rPr>
        <w:rFonts w:hint="default"/>
        <w:lang w:val="zh-CN" w:eastAsia="zh-CN" w:bidi="zh-CN"/>
      </w:rPr>
    </w:lvl>
    <w:lvl w:ilvl="6" w:tentative="0">
      <w:start w:val="0"/>
      <w:numFmt w:val="bullet"/>
      <w:lvlText w:val="•"/>
      <w:lvlJc w:val="left"/>
      <w:pPr>
        <w:ind w:left="6159" w:hanging="600"/>
      </w:pPr>
      <w:rPr>
        <w:rFonts w:hint="default"/>
        <w:lang w:val="zh-CN" w:eastAsia="zh-CN" w:bidi="zh-CN"/>
      </w:rPr>
    </w:lvl>
    <w:lvl w:ilvl="7" w:tentative="0">
      <w:start w:val="0"/>
      <w:numFmt w:val="bullet"/>
      <w:lvlText w:val="•"/>
      <w:lvlJc w:val="left"/>
      <w:pPr>
        <w:ind w:left="7146" w:hanging="600"/>
      </w:pPr>
      <w:rPr>
        <w:rFonts w:hint="default"/>
        <w:lang w:val="zh-CN" w:eastAsia="zh-CN" w:bidi="zh-CN"/>
      </w:rPr>
    </w:lvl>
    <w:lvl w:ilvl="8" w:tentative="0">
      <w:start w:val="0"/>
      <w:numFmt w:val="bullet"/>
      <w:lvlText w:val="•"/>
      <w:lvlJc w:val="left"/>
      <w:pPr>
        <w:ind w:left="8133" w:hanging="600"/>
      </w:pPr>
      <w:rPr>
        <w:rFonts w:hint="default"/>
        <w:lang w:val="zh-CN" w:eastAsia="zh-CN" w:bidi="zh-CN"/>
      </w:rPr>
    </w:lvl>
  </w:abstractNum>
  <w:abstractNum w:abstractNumId="33">
    <w:nsid w:val="60382F6E"/>
    <w:multiLevelType w:val="multilevel"/>
    <w:tmpl w:val="60382F6E"/>
    <w:lvl w:ilvl="0" w:tentative="0">
      <w:start w:val="20"/>
      <w:numFmt w:val="decimal"/>
      <w:lvlText w:val="%1"/>
      <w:lvlJc w:val="left"/>
      <w:pPr>
        <w:ind w:left="1313" w:hanging="600"/>
        <w:jc w:val="left"/>
      </w:pPr>
      <w:rPr>
        <w:rFonts w:hint="default"/>
        <w:lang w:val="zh-CN" w:eastAsia="zh-CN" w:bidi="zh-CN"/>
      </w:rPr>
    </w:lvl>
    <w:lvl w:ilvl="1" w:tentative="0">
      <w:start w:val="1"/>
      <w:numFmt w:val="decimal"/>
      <w:lvlText w:val="%1.%2"/>
      <w:lvlJc w:val="left"/>
      <w:pPr>
        <w:ind w:left="1313" w:hanging="600"/>
        <w:jc w:val="left"/>
      </w:pPr>
      <w:rPr>
        <w:rFonts w:hint="default"/>
        <w:w w:val="100"/>
        <w:lang w:val="zh-CN" w:eastAsia="zh-CN" w:bidi="zh-CN"/>
      </w:rPr>
    </w:lvl>
    <w:lvl w:ilvl="2" w:tentative="0">
      <w:start w:val="1"/>
      <w:numFmt w:val="decimal"/>
      <w:lvlText w:val="%1.%2.%3"/>
      <w:lvlJc w:val="left"/>
      <w:pPr>
        <w:ind w:left="2033" w:hanging="840"/>
        <w:jc w:val="left"/>
      </w:pPr>
      <w:rPr>
        <w:rFonts w:hint="default" w:ascii="楷体" w:hAnsi="楷体" w:eastAsia="楷体" w:cs="楷体"/>
        <w:w w:val="100"/>
        <w:sz w:val="24"/>
        <w:szCs w:val="24"/>
        <w:lang w:val="zh-CN" w:eastAsia="zh-CN" w:bidi="zh-CN"/>
      </w:rPr>
    </w:lvl>
    <w:lvl w:ilvl="3" w:tentative="0">
      <w:start w:val="0"/>
      <w:numFmt w:val="bullet"/>
      <w:lvlText w:val="•"/>
      <w:lvlJc w:val="left"/>
      <w:pPr>
        <w:ind w:left="3832" w:hanging="840"/>
      </w:pPr>
      <w:rPr>
        <w:rFonts w:hint="default"/>
        <w:lang w:val="zh-CN" w:eastAsia="zh-CN" w:bidi="zh-CN"/>
      </w:rPr>
    </w:lvl>
    <w:lvl w:ilvl="4" w:tentative="0">
      <w:start w:val="0"/>
      <w:numFmt w:val="bullet"/>
      <w:lvlText w:val="•"/>
      <w:lvlJc w:val="left"/>
      <w:pPr>
        <w:ind w:left="4728" w:hanging="840"/>
      </w:pPr>
      <w:rPr>
        <w:rFonts w:hint="default"/>
        <w:lang w:val="zh-CN" w:eastAsia="zh-CN" w:bidi="zh-CN"/>
      </w:rPr>
    </w:lvl>
    <w:lvl w:ilvl="5" w:tentative="0">
      <w:start w:val="0"/>
      <w:numFmt w:val="bullet"/>
      <w:lvlText w:val="•"/>
      <w:lvlJc w:val="left"/>
      <w:pPr>
        <w:ind w:left="5625" w:hanging="840"/>
      </w:pPr>
      <w:rPr>
        <w:rFonts w:hint="default"/>
        <w:lang w:val="zh-CN" w:eastAsia="zh-CN" w:bidi="zh-CN"/>
      </w:rPr>
    </w:lvl>
    <w:lvl w:ilvl="6" w:tentative="0">
      <w:start w:val="0"/>
      <w:numFmt w:val="bullet"/>
      <w:lvlText w:val="•"/>
      <w:lvlJc w:val="left"/>
      <w:pPr>
        <w:ind w:left="6521" w:hanging="840"/>
      </w:pPr>
      <w:rPr>
        <w:rFonts w:hint="default"/>
        <w:lang w:val="zh-CN" w:eastAsia="zh-CN" w:bidi="zh-CN"/>
      </w:rPr>
    </w:lvl>
    <w:lvl w:ilvl="7" w:tentative="0">
      <w:start w:val="0"/>
      <w:numFmt w:val="bullet"/>
      <w:lvlText w:val="•"/>
      <w:lvlJc w:val="left"/>
      <w:pPr>
        <w:ind w:left="7417" w:hanging="840"/>
      </w:pPr>
      <w:rPr>
        <w:rFonts w:hint="default"/>
        <w:lang w:val="zh-CN" w:eastAsia="zh-CN" w:bidi="zh-CN"/>
      </w:rPr>
    </w:lvl>
    <w:lvl w:ilvl="8" w:tentative="0">
      <w:start w:val="0"/>
      <w:numFmt w:val="bullet"/>
      <w:lvlText w:val="•"/>
      <w:lvlJc w:val="left"/>
      <w:pPr>
        <w:ind w:left="8313" w:hanging="840"/>
      </w:pPr>
      <w:rPr>
        <w:rFonts w:hint="default"/>
        <w:lang w:val="zh-CN" w:eastAsia="zh-CN" w:bidi="zh-CN"/>
      </w:rPr>
    </w:lvl>
  </w:abstractNum>
  <w:abstractNum w:abstractNumId="34">
    <w:nsid w:val="629F7852"/>
    <w:multiLevelType w:val="multilevel"/>
    <w:tmpl w:val="629F7852"/>
    <w:lvl w:ilvl="0" w:tentative="0">
      <w:start w:val="1"/>
      <w:numFmt w:val="decimal"/>
      <w:lvlText w:val="（%1）"/>
      <w:lvlJc w:val="left"/>
      <w:pPr>
        <w:ind w:left="232" w:hanging="601"/>
        <w:jc w:val="left"/>
      </w:pPr>
      <w:rPr>
        <w:rFonts w:hint="default" w:ascii="楷体" w:hAnsi="楷体" w:eastAsia="楷体" w:cs="楷体"/>
        <w:spacing w:val="-22"/>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35">
    <w:nsid w:val="72183CF9"/>
    <w:multiLevelType w:val="multilevel"/>
    <w:tmpl w:val="72183CF9"/>
    <w:lvl w:ilvl="0" w:tentative="0">
      <w:start w:val="5"/>
      <w:numFmt w:val="decimal"/>
      <w:lvlText w:val="%1"/>
      <w:lvlJc w:val="left"/>
      <w:pPr>
        <w:ind w:left="232" w:hanging="480"/>
        <w:jc w:val="left"/>
      </w:pPr>
      <w:rPr>
        <w:rFonts w:hint="default"/>
        <w:lang w:val="zh-CN" w:eastAsia="zh-CN" w:bidi="zh-CN"/>
      </w:rPr>
    </w:lvl>
    <w:lvl w:ilvl="1" w:tentative="0">
      <w:start w:val="1"/>
      <w:numFmt w:val="decimal"/>
      <w:lvlText w:val="%1.%2"/>
      <w:lvlJc w:val="left"/>
      <w:pPr>
        <w:ind w:left="232" w:hanging="480"/>
        <w:jc w:val="left"/>
      </w:pPr>
      <w:rPr>
        <w:rFonts w:hint="default" w:ascii="楷体" w:hAnsi="楷体" w:eastAsia="楷体" w:cs="楷体"/>
        <w:w w:val="100"/>
        <w:sz w:val="24"/>
        <w:szCs w:val="24"/>
        <w:lang w:val="zh-CN" w:eastAsia="zh-CN" w:bidi="zh-CN"/>
      </w:rPr>
    </w:lvl>
    <w:lvl w:ilvl="2" w:tentative="0">
      <w:start w:val="0"/>
      <w:numFmt w:val="bullet"/>
      <w:lvlText w:val="•"/>
      <w:lvlJc w:val="left"/>
      <w:pPr>
        <w:ind w:left="2213" w:hanging="480"/>
      </w:pPr>
      <w:rPr>
        <w:rFonts w:hint="default"/>
        <w:lang w:val="zh-CN" w:eastAsia="zh-CN" w:bidi="zh-CN"/>
      </w:rPr>
    </w:lvl>
    <w:lvl w:ilvl="3" w:tentative="0">
      <w:start w:val="0"/>
      <w:numFmt w:val="bullet"/>
      <w:lvlText w:val="•"/>
      <w:lvlJc w:val="left"/>
      <w:pPr>
        <w:ind w:left="3199" w:hanging="480"/>
      </w:pPr>
      <w:rPr>
        <w:rFonts w:hint="default"/>
        <w:lang w:val="zh-CN" w:eastAsia="zh-CN" w:bidi="zh-CN"/>
      </w:rPr>
    </w:lvl>
    <w:lvl w:ilvl="4" w:tentative="0">
      <w:start w:val="0"/>
      <w:numFmt w:val="bullet"/>
      <w:lvlText w:val="•"/>
      <w:lvlJc w:val="left"/>
      <w:pPr>
        <w:ind w:left="4186" w:hanging="480"/>
      </w:pPr>
      <w:rPr>
        <w:rFonts w:hint="default"/>
        <w:lang w:val="zh-CN" w:eastAsia="zh-CN" w:bidi="zh-CN"/>
      </w:rPr>
    </w:lvl>
    <w:lvl w:ilvl="5" w:tentative="0">
      <w:start w:val="0"/>
      <w:numFmt w:val="bullet"/>
      <w:lvlText w:val="•"/>
      <w:lvlJc w:val="left"/>
      <w:pPr>
        <w:ind w:left="5173" w:hanging="480"/>
      </w:pPr>
      <w:rPr>
        <w:rFonts w:hint="default"/>
        <w:lang w:val="zh-CN" w:eastAsia="zh-CN" w:bidi="zh-CN"/>
      </w:rPr>
    </w:lvl>
    <w:lvl w:ilvl="6" w:tentative="0">
      <w:start w:val="0"/>
      <w:numFmt w:val="bullet"/>
      <w:lvlText w:val="•"/>
      <w:lvlJc w:val="left"/>
      <w:pPr>
        <w:ind w:left="6159" w:hanging="480"/>
      </w:pPr>
      <w:rPr>
        <w:rFonts w:hint="default"/>
        <w:lang w:val="zh-CN" w:eastAsia="zh-CN" w:bidi="zh-CN"/>
      </w:rPr>
    </w:lvl>
    <w:lvl w:ilvl="7" w:tentative="0">
      <w:start w:val="0"/>
      <w:numFmt w:val="bullet"/>
      <w:lvlText w:val="•"/>
      <w:lvlJc w:val="left"/>
      <w:pPr>
        <w:ind w:left="7146" w:hanging="480"/>
      </w:pPr>
      <w:rPr>
        <w:rFonts w:hint="default"/>
        <w:lang w:val="zh-CN" w:eastAsia="zh-CN" w:bidi="zh-CN"/>
      </w:rPr>
    </w:lvl>
    <w:lvl w:ilvl="8" w:tentative="0">
      <w:start w:val="0"/>
      <w:numFmt w:val="bullet"/>
      <w:lvlText w:val="•"/>
      <w:lvlJc w:val="left"/>
      <w:pPr>
        <w:ind w:left="8133" w:hanging="480"/>
      </w:pPr>
      <w:rPr>
        <w:rFonts w:hint="default"/>
        <w:lang w:val="zh-CN" w:eastAsia="zh-CN" w:bidi="zh-CN"/>
      </w:rPr>
    </w:lvl>
  </w:abstractNum>
  <w:abstractNum w:abstractNumId="36">
    <w:nsid w:val="77ECEA79"/>
    <w:multiLevelType w:val="multilevel"/>
    <w:tmpl w:val="77ECEA79"/>
    <w:lvl w:ilvl="0" w:tentative="0">
      <w:start w:val="2"/>
      <w:numFmt w:val="decimal"/>
      <w:lvlText w:val="（%1）"/>
      <w:lvlJc w:val="left"/>
      <w:pPr>
        <w:ind w:left="232" w:hanging="603"/>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1226" w:hanging="603"/>
      </w:pPr>
      <w:rPr>
        <w:rFonts w:hint="default"/>
        <w:lang w:val="zh-CN" w:eastAsia="zh-CN" w:bidi="zh-CN"/>
      </w:rPr>
    </w:lvl>
    <w:lvl w:ilvl="2" w:tentative="0">
      <w:start w:val="0"/>
      <w:numFmt w:val="bullet"/>
      <w:lvlText w:val="•"/>
      <w:lvlJc w:val="left"/>
      <w:pPr>
        <w:ind w:left="2213" w:hanging="603"/>
      </w:pPr>
      <w:rPr>
        <w:rFonts w:hint="default"/>
        <w:lang w:val="zh-CN" w:eastAsia="zh-CN" w:bidi="zh-CN"/>
      </w:rPr>
    </w:lvl>
    <w:lvl w:ilvl="3" w:tentative="0">
      <w:start w:val="0"/>
      <w:numFmt w:val="bullet"/>
      <w:lvlText w:val="•"/>
      <w:lvlJc w:val="left"/>
      <w:pPr>
        <w:ind w:left="3199" w:hanging="603"/>
      </w:pPr>
      <w:rPr>
        <w:rFonts w:hint="default"/>
        <w:lang w:val="zh-CN" w:eastAsia="zh-CN" w:bidi="zh-CN"/>
      </w:rPr>
    </w:lvl>
    <w:lvl w:ilvl="4" w:tentative="0">
      <w:start w:val="0"/>
      <w:numFmt w:val="bullet"/>
      <w:lvlText w:val="•"/>
      <w:lvlJc w:val="left"/>
      <w:pPr>
        <w:ind w:left="4186" w:hanging="603"/>
      </w:pPr>
      <w:rPr>
        <w:rFonts w:hint="default"/>
        <w:lang w:val="zh-CN" w:eastAsia="zh-CN" w:bidi="zh-CN"/>
      </w:rPr>
    </w:lvl>
    <w:lvl w:ilvl="5" w:tentative="0">
      <w:start w:val="0"/>
      <w:numFmt w:val="bullet"/>
      <w:lvlText w:val="•"/>
      <w:lvlJc w:val="left"/>
      <w:pPr>
        <w:ind w:left="5173" w:hanging="603"/>
      </w:pPr>
      <w:rPr>
        <w:rFonts w:hint="default"/>
        <w:lang w:val="zh-CN" w:eastAsia="zh-CN" w:bidi="zh-CN"/>
      </w:rPr>
    </w:lvl>
    <w:lvl w:ilvl="6" w:tentative="0">
      <w:start w:val="0"/>
      <w:numFmt w:val="bullet"/>
      <w:lvlText w:val="•"/>
      <w:lvlJc w:val="left"/>
      <w:pPr>
        <w:ind w:left="6159" w:hanging="603"/>
      </w:pPr>
      <w:rPr>
        <w:rFonts w:hint="default"/>
        <w:lang w:val="zh-CN" w:eastAsia="zh-CN" w:bidi="zh-CN"/>
      </w:rPr>
    </w:lvl>
    <w:lvl w:ilvl="7" w:tentative="0">
      <w:start w:val="0"/>
      <w:numFmt w:val="bullet"/>
      <w:lvlText w:val="•"/>
      <w:lvlJc w:val="left"/>
      <w:pPr>
        <w:ind w:left="7146" w:hanging="603"/>
      </w:pPr>
      <w:rPr>
        <w:rFonts w:hint="default"/>
        <w:lang w:val="zh-CN" w:eastAsia="zh-CN" w:bidi="zh-CN"/>
      </w:rPr>
    </w:lvl>
    <w:lvl w:ilvl="8" w:tentative="0">
      <w:start w:val="0"/>
      <w:numFmt w:val="bullet"/>
      <w:lvlText w:val="•"/>
      <w:lvlJc w:val="left"/>
      <w:pPr>
        <w:ind w:left="8133" w:hanging="603"/>
      </w:pPr>
      <w:rPr>
        <w:rFonts w:hint="default"/>
        <w:lang w:val="zh-CN" w:eastAsia="zh-CN" w:bidi="zh-CN"/>
      </w:rPr>
    </w:lvl>
  </w:abstractNum>
  <w:abstractNum w:abstractNumId="37">
    <w:nsid w:val="7C246926"/>
    <w:multiLevelType w:val="multilevel"/>
    <w:tmpl w:val="7C246926"/>
    <w:lvl w:ilvl="0" w:tentative="0">
      <w:start w:val="1"/>
      <w:numFmt w:val="decimal"/>
      <w:lvlText w:val="%1."/>
      <w:lvlJc w:val="left"/>
      <w:pPr>
        <w:ind w:left="110" w:hanging="241"/>
        <w:jc w:val="left"/>
      </w:pPr>
      <w:rPr>
        <w:rFonts w:hint="default" w:ascii="楷体" w:hAnsi="楷体" w:eastAsia="楷体" w:cs="楷体"/>
        <w:spacing w:val="-53"/>
        <w:w w:val="100"/>
        <w:sz w:val="22"/>
        <w:szCs w:val="22"/>
        <w:lang w:val="zh-CN" w:eastAsia="zh-CN" w:bidi="zh-CN"/>
      </w:rPr>
    </w:lvl>
    <w:lvl w:ilvl="1" w:tentative="0">
      <w:start w:val="0"/>
      <w:numFmt w:val="bullet"/>
      <w:lvlText w:val="•"/>
      <w:lvlJc w:val="left"/>
      <w:pPr>
        <w:ind w:left="862" w:hanging="241"/>
      </w:pPr>
      <w:rPr>
        <w:rFonts w:hint="default"/>
        <w:lang w:val="zh-CN" w:eastAsia="zh-CN" w:bidi="zh-CN"/>
      </w:rPr>
    </w:lvl>
    <w:lvl w:ilvl="2" w:tentative="0">
      <w:start w:val="0"/>
      <w:numFmt w:val="bullet"/>
      <w:lvlText w:val="•"/>
      <w:lvlJc w:val="left"/>
      <w:pPr>
        <w:ind w:left="1604" w:hanging="241"/>
      </w:pPr>
      <w:rPr>
        <w:rFonts w:hint="default"/>
        <w:lang w:val="zh-CN" w:eastAsia="zh-CN" w:bidi="zh-CN"/>
      </w:rPr>
    </w:lvl>
    <w:lvl w:ilvl="3" w:tentative="0">
      <w:start w:val="0"/>
      <w:numFmt w:val="bullet"/>
      <w:lvlText w:val="•"/>
      <w:lvlJc w:val="left"/>
      <w:pPr>
        <w:ind w:left="2346" w:hanging="241"/>
      </w:pPr>
      <w:rPr>
        <w:rFonts w:hint="default"/>
        <w:lang w:val="zh-CN" w:eastAsia="zh-CN" w:bidi="zh-CN"/>
      </w:rPr>
    </w:lvl>
    <w:lvl w:ilvl="4" w:tentative="0">
      <w:start w:val="0"/>
      <w:numFmt w:val="bullet"/>
      <w:lvlText w:val="•"/>
      <w:lvlJc w:val="left"/>
      <w:pPr>
        <w:ind w:left="3088" w:hanging="241"/>
      </w:pPr>
      <w:rPr>
        <w:rFonts w:hint="default"/>
        <w:lang w:val="zh-CN" w:eastAsia="zh-CN" w:bidi="zh-CN"/>
      </w:rPr>
    </w:lvl>
    <w:lvl w:ilvl="5" w:tentative="0">
      <w:start w:val="0"/>
      <w:numFmt w:val="bullet"/>
      <w:lvlText w:val="•"/>
      <w:lvlJc w:val="left"/>
      <w:pPr>
        <w:ind w:left="3831" w:hanging="241"/>
      </w:pPr>
      <w:rPr>
        <w:rFonts w:hint="default"/>
        <w:lang w:val="zh-CN" w:eastAsia="zh-CN" w:bidi="zh-CN"/>
      </w:rPr>
    </w:lvl>
    <w:lvl w:ilvl="6" w:tentative="0">
      <w:start w:val="0"/>
      <w:numFmt w:val="bullet"/>
      <w:lvlText w:val="•"/>
      <w:lvlJc w:val="left"/>
      <w:pPr>
        <w:ind w:left="4573" w:hanging="241"/>
      </w:pPr>
      <w:rPr>
        <w:rFonts w:hint="default"/>
        <w:lang w:val="zh-CN" w:eastAsia="zh-CN" w:bidi="zh-CN"/>
      </w:rPr>
    </w:lvl>
    <w:lvl w:ilvl="7" w:tentative="0">
      <w:start w:val="0"/>
      <w:numFmt w:val="bullet"/>
      <w:lvlText w:val="•"/>
      <w:lvlJc w:val="left"/>
      <w:pPr>
        <w:ind w:left="5315" w:hanging="241"/>
      </w:pPr>
      <w:rPr>
        <w:rFonts w:hint="default"/>
        <w:lang w:val="zh-CN" w:eastAsia="zh-CN" w:bidi="zh-CN"/>
      </w:rPr>
    </w:lvl>
    <w:lvl w:ilvl="8" w:tentative="0">
      <w:start w:val="0"/>
      <w:numFmt w:val="bullet"/>
      <w:lvlText w:val="•"/>
      <w:lvlJc w:val="left"/>
      <w:pPr>
        <w:ind w:left="6057" w:hanging="241"/>
      </w:pPr>
      <w:rPr>
        <w:rFonts w:hint="default"/>
        <w:lang w:val="zh-CN" w:eastAsia="zh-CN" w:bidi="zh-CN"/>
      </w:rPr>
    </w:lvl>
  </w:abstractNum>
  <w:abstractNum w:abstractNumId="38">
    <w:nsid w:val="7DEC2089"/>
    <w:multiLevelType w:val="multilevel"/>
    <w:tmpl w:val="7DEC2089"/>
    <w:lvl w:ilvl="0" w:tentative="0">
      <w:start w:val="5"/>
      <w:numFmt w:val="decimal"/>
      <w:lvlText w:val="%1"/>
      <w:lvlJc w:val="left"/>
      <w:pPr>
        <w:ind w:left="953" w:hanging="480"/>
        <w:jc w:val="left"/>
      </w:pPr>
      <w:rPr>
        <w:rFonts w:hint="default"/>
        <w:lang w:val="zh-CN" w:eastAsia="zh-CN" w:bidi="zh-CN"/>
      </w:rPr>
    </w:lvl>
    <w:lvl w:ilvl="1" w:tentative="0">
      <w:start w:val="1"/>
      <w:numFmt w:val="decimal"/>
      <w:lvlText w:val="%1.%2"/>
      <w:lvlJc w:val="left"/>
      <w:pPr>
        <w:ind w:left="953" w:hanging="480"/>
        <w:jc w:val="left"/>
      </w:pPr>
      <w:rPr>
        <w:rFonts w:hint="default" w:ascii="楷体" w:hAnsi="楷体" w:eastAsia="楷体" w:cs="楷体"/>
        <w:w w:val="100"/>
        <w:sz w:val="24"/>
        <w:szCs w:val="24"/>
        <w:lang w:val="zh-CN" w:eastAsia="zh-CN" w:bidi="zh-CN"/>
      </w:rPr>
    </w:lvl>
    <w:lvl w:ilvl="2" w:tentative="0">
      <w:start w:val="1"/>
      <w:numFmt w:val="decimal"/>
      <w:lvlText w:val="%3."/>
      <w:lvlJc w:val="left"/>
      <w:pPr>
        <w:ind w:left="232" w:hanging="361"/>
        <w:jc w:val="left"/>
      </w:pPr>
      <w:rPr>
        <w:rFonts w:hint="default" w:ascii="楷体" w:hAnsi="楷体" w:eastAsia="楷体" w:cs="楷体"/>
        <w:spacing w:val="-41"/>
        <w:w w:val="100"/>
        <w:sz w:val="22"/>
        <w:szCs w:val="22"/>
        <w:lang w:val="zh-CN" w:eastAsia="zh-CN" w:bidi="zh-CN"/>
      </w:rPr>
    </w:lvl>
    <w:lvl w:ilvl="3" w:tentative="0">
      <w:start w:val="0"/>
      <w:numFmt w:val="bullet"/>
      <w:lvlText w:val="•"/>
      <w:lvlJc w:val="left"/>
      <w:pPr>
        <w:ind w:left="2992" w:hanging="361"/>
      </w:pPr>
      <w:rPr>
        <w:rFonts w:hint="default"/>
        <w:lang w:val="zh-CN" w:eastAsia="zh-CN" w:bidi="zh-CN"/>
      </w:rPr>
    </w:lvl>
    <w:lvl w:ilvl="4" w:tentative="0">
      <w:start w:val="0"/>
      <w:numFmt w:val="bullet"/>
      <w:lvlText w:val="•"/>
      <w:lvlJc w:val="left"/>
      <w:pPr>
        <w:ind w:left="4008" w:hanging="361"/>
      </w:pPr>
      <w:rPr>
        <w:rFonts w:hint="default"/>
        <w:lang w:val="zh-CN" w:eastAsia="zh-CN" w:bidi="zh-CN"/>
      </w:rPr>
    </w:lvl>
    <w:lvl w:ilvl="5" w:tentative="0">
      <w:start w:val="0"/>
      <w:numFmt w:val="bullet"/>
      <w:lvlText w:val="•"/>
      <w:lvlJc w:val="left"/>
      <w:pPr>
        <w:ind w:left="5025" w:hanging="361"/>
      </w:pPr>
      <w:rPr>
        <w:rFonts w:hint="default"/>
        <w:lang w:val="zh-CN" w:eastAsia="zh-CN" w:bidi="zh-CN"/>
      </w:rPr>
    </w:lvl>
    <w:lvl w:ilvl="6" w:tentative="0">
      <w:start w:val="0"/>
      <w:numFmt w:val="bullet"/>
      <w:lvlText w:val="•"/>
      <w:lvlJc w:val="left"/>
      <w:pPr>
        <w:ind w:left="6041" w:hanging="361"/>
      </w:pPr>
      <w:rPr>
        <w:rFonts w:hint="default"/>
        <w:lang w:val="zh-CN" w:eastAsia="zh-CN" w:bidi="zh-CN"/>
      </w:rPr>
    </w:lvl>
    <w:lvl w:ilvl="7" w:tentative="0">
      <w:start w:val="0"/>
      <w:numFmt w:val="bullet"/>
      <w:lvlText w:val="•"/>
      <w:lvlJc w:val="left"/>
      <w:pPr>
        <w:ind w:left="7057" w:hanging="361"/>
      </w:pPr>
      <w:rPr>
        <w:rFonts w:hint="default"/>
        <w:lang w:val="zh-CN" w:eastAsia="zh-CN" w:bidi="zh-CN"/>
      </w:rPr>
    </w:lvl>
    <w:lvl w:ilvl="8" w:tentative="0">
      <w:start w:val="0"/>
      <w:numFmt w:val="bullet"/>
      <w:lvlText w:val="•"/>
      <w:lvlJc w:val="left"/>
      <w:pPr>
        <w:ind w:left="8073" w:hanging="361"/>
      </w:pPr>
      <w:rPr>
        <w:rFonts w:hint="default"/>
        <w:lang w:val="zh-CN" w:eastAsia="zh-CN" w:bidi="zh-CN"/>
      </w:rPr>
    </w:lvl>
  </w:abstractNum>
  <w:num w:numId="1">
    <w:abstractNumId w:val="23"/>
  </w:num>
  <w:num w:numId="2">
    <w:abstractNumId w:val="10"/>
  </w:num>
  <w:num w:numId="3">
    <w:abstractNumId w:val="31"/>
  </w:num>
  <w:num w:numId="4">
    <w:abstractNumId w:val="8"/>
  </w:num>
  <w:num w:numId="5">
    <w:abstractNumId w:val="6"/>
  </w:num>
  <w:num w:numId="6">
    <w:abstractNumId w:val="17"/>
  </w:num>
  <w:num w:numId="7">
    <w:abstractNumId w:val="21"/>
  </w:num>
  <w:num w:numId="8">
    <w:abstractNumId w:val="35"/>
  </w:num>
  <w:num w:numId="9">
    <w:abstractNumId w:val="16"/>
  </w:num>
  <w:num w:numId="10">
    <w:abstractNumId w:val="2"/>
  </w:num>
  <w:num w:numId="11">
    <w:abstractNumId w:val="22"/>
  </w:num>
  <w:num w:numId="12">
    <w:abstractNumId w:val="32"/>
  </w:num>
  <w:num w:numId="13">
    <w:abstractNumId w:val="9"/>
  </w:num>
  <w:num w:numId="14">
    <w:abstractNumId w:val="28"/>
  </w:num>
  <w:num w:numId="15">
    <w:abstractNumId w:val="14"/>
  </w:num>
  <w:num w:numId="16">
    <w:abstractNumId w:val="20"/>
  </w:num>
  <w:num w:numId="17">
    <w:abstractNumId w:val="12"/>
  </w:num>
  <w:num w:numId="18">
    <w:abstractNumId w:val="11"/>
  </w:num>
  <w:num w:numId="19">
    <w:abstractNumId w:val="4"/>
  </w:num>
  <w:num w:numId="20">
    <w:abstractNumId w:val="27"/>
  </w:num>
  <w:num w:numId="21">
    <w:abstractNumId w:val="33"/>
  </w:num>
  <w:num w:numId="22">
    <w:abstractNumId w:val="18"/>
  </w:num>
  <w:num w:numId="23">
    <w:abstractNumId w:val="26"/>
  </w:num>
  <w:num w:numId="24">
    <w:abstractNumId w:val="5"/>
  </w:num>
  <w:num w:numId="25">
    <w:abstractNumId w:val="37"/>
  </w:num>
  <w:num w:numId="26">
    <w:abstractNumId w:val="36"/>
  </w:num>
  <w:num w:numId="27">
    <w:abstractNumId w:val="7"/>
  </w:num>
  <w:num w:numId="28">
    <w:abstractNumId w:val="34"/>
  </w:num>
  <w:num w:numId="29">
    <w:abstractNumId w:val="3"/>
  </w:num>
  <w:num w:numId="30">
    <w:abstractNumId w:val="24"/>
  </w:num>
  <w:num w:numId="31">
    <w:abstractNumId w:val="1"/>
  </w:num>
  <w:num w:numId="32">
    <w:abstractNumId w:val="30"/>
  </w:num>
  <w:num w:numId="33">
    <w:abstractNumId w:val="38"/>
  </w:num>
  <w:num w:numId="34">
    <w:abstractNumId w:val="0"/>
  </w:num>
  <w:num w:numId="35">
    <w:abstractNumId w:val="19"/>
  </w:num>
  <w:num w:numId="36">
    <w:abstractNumId w:val="29"/>
  </w:num>
  <w:num w:numId="37">
    <w:abstractNumId w:val="25"/>
  </w:num>
  <w:num w:numId="38">
    <w:abstractNumId w:val="1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38B0233"/>
    <w:rsid w:val="039C744C"/>
    <w:rsid w:val="047C2CD2"/>
    <w:rsid w:val="07F27125"/>
    <w:rsid w:val="08A65E67"/>
    <w:rsid w:val="09075FFC"/>
    <w:rsid w:val="0B882C2E"/>
    <w:rsid w:val="0C2D4A87"/>
    <w:rsid w:val="0C5651BB"/>
    <w:rsid w:val="0CF64470"/>
    <w:rsid w:val="0FB73EC9"/>
    <w:rsid w:val="102526E2"/>
    <w:rsid w:val="137D59B7"/>
    <w:rsid w:val="20685077"/>
    <w:rsid w:val="215B0F17"/>
    <w:rsid w:val="26EE3D02"/>
    <w:rsid w:val="28F935D4"/>
    <w:rsid w:val="2D03148E"/>
    <w:rsid w:val="2F521660"/>
    <w:rsid w:val="2FDA6495"/>
    <w:rsid w:val="31705FE8"/>
    <w:rsid w:val="3C305E18"/>
    <w:rsid w:val="3EDE0449"/>
    <w:rsid w:val="40A56E31"/>
    <w:rsid w:val="435E47D3"/>
    <w:rsid w:val="43E00F8C"/>
    <w:rsid w:val="440941D1"/>
    <w:rsid w:val="445031DE"/>
    <w:rsid w:val="45006D73"/>
    <w:rsid w:val="49ED4332"/>
    <w:rsid w:val="4C02608D"/>
    <w:rsid w:val="50581845"/>
    <w:rsid w:val="53DE70D5"/>
    <w:rsid w:val="5A4F12FC"/>
    <w:rsid w:val="5D237662"/>
    <w:rsid w:val="607A4187"/>
    <w:rsid w:val="64E45AB6"/>
    <w:rsid w:val="657F7A40"/>
    <w:rsid w:val="6AA85BC3"/>
    <w:rsid w:val="6B715A59"/>
    <w:rsid w:val="6CCD29E7"/>
    <w:rsid w:val="71A97138"/>
    <w:rsid w:val="71AF404B"/>
    <w:rsid w:val="736020A3"/>
    <w:rsid w:val="73BC238F"/>
    <w:rsid w:val="73FF65F9"/>
    <w:rsid w:val="7547404A"/>
    <w:rsid w:val="75BF1421"/>
    <w:rsid w:val="79A66201"/>
    <w:rsid w:val="7F371E77"/>
    <w:rsid w:val="7F59274D"/>
    <w:rsid w:val="7FCA64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right="1"/>
      <w:jc w:val="center"/>
      <w:outlineLvl w:val="1"/>
    </w:pPr>
    <w:rPr>
      <w:rFonts w:ascii="楷体" w:hAnsi="楷体" w:eastAsia="楷体" w:cs="楷体"/>
      <w:b/>
      <w:bCs/>
      <w:sz w:val="52"/>
      <w:szCs w:val="52"/>
      <w:lang w:val="zh-CN" w:eastAsia="zh-CN" w:bidi="zh-CN"/>
    </w:rPr>
  </w:style>
  <w:style w:type="paragraph" w:styleId="3">
    <w:name w:val="heading 2"/>
    <w:basedOn w:val="1"/>
    <w:next w:val="1"/>
    <w:qFormat/>
    <w:uiPriority w:val="1"/>
    <w:pPr>
      <w:spacing w:before="39"/>
      <w:jc w:val="center"/>
      <w:outlineLvl w:val="2"/>
    </w:pPr>
    <w:rPr>
      <w:rFonts w:ascii="楷体" w:hAnsi="楷体" w:eastAsia="楷体" w:cs="楷体"/>
      <w:b/>
      <w:bCs/>
      <w:sz w:val="32"/>
      <w:szCs w:val="32"/>
      <w:lang w:val="zh-CN" w:eastAsia="zh-CN" w:bidi="zh-CN"/>
    </w:rPr>
  </w:style>
  <w:style w:type="paragraph" w:styleId="4">
    <w:name w:val="heading 3"/>
    <w:basedOn w:val="1"/>
    <w:next w:val="1"/>
    <w:qFormat/>
    <w:uiPriority w:val="1"/>
    <w:pPr>
      <w:ind w:right="1"/>
      <w:jc w:val="center"/>
      <w:outlineLvl w:val="3"/>
    </w:pPr>
    <w:rPr>
      <w:rFonts w:ascii="楷体" w:hAnsi="楷体" w:eastAsia="楷体" w:cs="楷体"/>
      <w:b/>
      <w:bCs/>
      <w:sz w:val="30"/>
      <w:szCs w:val="30"/>
      <w:lang w:val="zh-CN" w:eastAsia="zh-CN" w:bidi="zh-CN"/>
    </w:rPr>
  </w:style>
  <w:style w:type="paragraph" w:styleId="5">
    <w:name w:val="heading 4"/>
    <w:basedOn w:val="1"/>
    <w:next w:val="1"/>
    <w:qFormat/>
    <w:uiPriority w:val="1"/>
    <w:pPr>
      <w:ind w:left="792"/>
      <w:outlineLvl w:val="4"/>
    </w:pPr>
    <w:rPr>
      <w:rFonts w:ascii="楷体" w:hAnsi="楷体" w:eastAsia="楷体" w:cs="楷体"/>
      <w:sz w:val="28"/>
      <w:szCs w:val="28"/>
      <w:lang w:val="zh-CN" w:eastAsia="zh-CN" w:bidi="zh-CN"/>
    </w:rPr>
  </w:style>
  <w:style w:type="paragraph" w:styleId="6">
    <w:name w:val="heading 5"/>
    <w:basedOn w:val="1"/>
    <w:next w:val="1"/>
    <w:qFormat/>
    <w:uiPriority w:val="1"/>
    <w:pPr>
      <w:spacing w:before="1"/>
      <w:ind w:left="232"/>
      <w:outlineLvl w:val="5"/>
    </w:pPr>
    <w:rPr>
      <w:rFonts w:ascii="楷体" w:hAnsi="楷体" w:eastAsia="楷体" w:cs="楷体"/>
      <w:b/>
      <w:bCs/>
      <w:sz w:val="24"/>
      <w:szCs w:val="24"/>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ind w:left="232"/>
    </w:pPr>
    <w:rPr>
      <w:rFonts w:ascii="楷体" w:hAnsi="楷体" w:eastAsia="楷体" w:cs="楷体"/>
      <w:sz w:val="24"/>
      <w:szCs w:val="24"/>
      <w:lang w:val="zh-CN" w:eastAsia="zh-CN" w:bidi="zh-C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rPr>
      <w:b/>
    </w:rPr>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rPr>
      <w:bdr w:val="single" w:color="999999" w:sz="6" w:space="0"/>
      <w:shd w:val="clear" w:fill="FFFFFF"/>
    </w:rPr>
  </w:style>
  <w:style w:type="character" w:styleId="19">
    <w:name w:val="Hyperlink"/>
    <w:basedOn w:val="11"/>
    <w:qFormat/>
    <w:uiPriority w:val="0"/>
    <w:rPr>
      <w:color w:val="0000FF"/>
      <w:u w:val="none"/>
    </w:rPr>
  </w:style>
  <w:style w:type="character" w:styleId="20">
    <w:name w:val="HTML Code"/>
    <w:basedOn w:val="11"/>
    <w:qFormat/>
    <w:uiPriority w:val="0"/>
    <w:rPr>
      <w:rFonts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spacing w:before="173"/>
      <w:ind w:left="232" w:firstLine="480"/>
    </w:pPr>
    <w:rPr>
      <w:rFonts w:ascii="楷体" w:hAnsi="楷体" w:eastAsia="楷体" w:cs="楷体"/>
      <w:lang w:val="zh-CN" w:eastAsia="zh-CN" w:bidi="zh-CN"/>
    </w:rPr>
  </w:style>
  <w:style w:type="paragraph" w:customStyle="1" w:styleId="26">
    <w:name w:val="Table Paragraph"/>
    <w:basedOn w:val="1"/>
    <w:qFormat/>
    <w:uiPriority w:val="1"/>
    <w:rPr>
      <w:rFonts w:ascii="楷体" w:hAnsi="楷体" w:eastAsia="楷体" w:cs="楷体"/>
      <w:lang w:val="zh-CN" w:eastAsia="zh-CN" w:bidi="zh-CN"/>
    </w:rPr>
  </w:style>
  <w:style w:type="paragraph" w:customStyle="1" w:styleId="27">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2021-05-14T02:32:00Z</dcterms:created>
  <dc:creator>Administrator</dc:creator>
  <cp:lastModifiedBy>张小厨</cp:lastModifiedBy>
  <dcterms:modified xsi:type="dcterms:W3CDTF">2021-05-18T09:28:29Z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2010</vt:lpwstr>
  </property>
  <property fmtid="{D5CDD505-2E9C-101B-9397-08002B2CF9AE}" pid="4" name="LastSaved">
    <vt:filetime>2021-05-14T00:00:00Z</vt:filetime>
  </property>
  <property fmtid="{D5CDD505-2E9C-101B-9397-08002B2CF9AE}" pid="5" name="KSOProductBuildVer">
    <vt:lpwstr>2052-11.1.0.10132</vt:lpwstr>
  </property>
</Properties>
</file>